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NewRoman" w:hAnsi="TimesNewRoman" w:eastAsia="黑体" w:cs="TimesNewRoman"/>
          <w:szCs w:val="32"/>
        </w:rPr>
      </w:pPr>
      <w:r>
        <w:rPr>
          <w:rFonts w:hint="eastAsia" w:ascii="TimesNewRoman" w:hAnsi="TimesNewRoman" w:eastAsia="黑体" w:cs="TimesNewRoman"/>
          <w:szCs w:val="32"/>
          <w:lang w:bidi="ar"/>
        </w:rPr>
        <w:t>附件2</w:t>
      </w:r>
    </w:p>
    <w:p>
      <w:pPr>
        <w:spacing w:line="560" w:lineRule="exact"/>
        <w:rPr>
          <w:rFonts w:ascii="TimesNewRoman" w:hAnsi="TimesNewRoman" w:eastAsia="华文中宋" w:cs="TimesNewRoman"/>
          <w:b/>
          <w:szCs w:val="32"/>
        </w:rPr>
      </w:pPr>
    </w:p>
    <w:p>
      <w:pPr>
        <w:spacing w:line="560" w:lineRule="exact"/>
        <w:jc w:val="center"/>
        <w:rPr>
          <w:rFonts w:hint="eastAsia" w:ascii="TimesNewRoman" w:hAnsi="TimesNewRoman" w:eastAsia="华文中宋" w:cs="TimesNewRoman"/>
          <w:b/>
          <w:sz w:val="36"/>
          <w:szCs w:val="36"/>
        </w:rPr>
      </w:pPr>
      <w:r>
        <w:rPr>
          <w:rFonts w:ascii="TimesNewRoman" w:hAnsi="TimesNewRoman" w:eastAsia="华文中宋" w:cs="TimesNewRoman"/>
          <w:b/>
          <w:sz w:val="36"/>
          <w:szCs w:val="36"/>
        </w:rPr>
        <w:t>淮北市</w:t>
      </w:r>
      <w:r>
        <w:rPr>
          <w:rFonts w:hint="eastAsia" w:ascii="TimesNewRoman" w:hAnsi="TimesNewRoman" w:eastAsia="华文中宋" w:cs="TimesNewRoman"/>
          <w:b/>
          <w:sz w:val="36"/>
          <w:szCs w:val="36"/>
        </w:rPr>
        <w:t>商贸市场建设和物流业发展服务中心</w:t>
      </w:r>
    </w:p>
    <w:p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  <w:r>
        <w:rPr>
          <w:rFonts w:ascii="TimesNewRoman" w:hAnsi="TimesNewRoman" w:eastAsia="华文中宋" w:cs="TimesNewRoman"/>
          <w:b/>
          <w:sz w:val="36"/>
          <w:szCs w:val="36"/>
        </w:rPr>
        <w:t>2024年一般公共预算“三公”经费预算</w:t>
      </w:r>
    </w:p>
    <w:p>
      <w:pPr>
        <w:spacing w:line="560" w:lineRule="exact"/>
        <w:rPr>
          <w:rFonts w:ascii="TimesNewRoman" w:hAnsi="TimesNewRoman" w:cs="TimesNewRoman"/>
          <w:sz w:val="6"/>
          <w:szCs w:val="32"/>
        </w:rPr>
      </w:pPr>
    </w:p>
    <w:p>
      <w:pPr>
        <w:spacing w:line="560" w:lineRule="exact"/>
        <w:ind w:firstLine="640" w:firstLineChars="200"/>
        <w:outlineLvl w:val="0"/>
        <w:rPr>
          <w:rStyle w:val="6"/>
          <w:rFonts w:ascii="TimesNewRoman" w:hAnsi="TimesNewRoman" w:eastAsia="黑体" w:cs="TimesNewRoman"/>
          <w:b w:val="0"/>
          <w:bCs w:val="0"/>
          <w:sz w:val="32"/>
          <w:szCs w:val="32"/>
        </w:rPr>
      </w:pPr>
      <w:r>
        <w:rPr>
          <w:rFonts w:ascii="TimesNewRoman" w:hAnsi="TimesNewRoman" w:eastAsia="黑体" w:cs="TimesNewRoman"/>
          <w:sz w:val="32"/>
          <w:szCs w:val="32"/>
        </w:rPr>
        <w:t>一、2024年一般公共预算“三公”经费支出预算表</w:t>
      </w:r>
    </w:p>
    <w:p>
      <w:pPr>
        <w:wordWrap w:val="0"/>
        <w:adjustRightInd w:val="0"/>
        <w:snapToGrid w:val="0"/>
        <w:spacing w:line="560" w:lineRule="exact"/>
        <w:ind w:firstLine="411" w:firstLineChars="196"/>
        <w:jc w:val="right"/>
        <w:rPr>
          <w:rStyle w:val="6"/>
          <w:rFonts w:ascii="TimesNewRoman" w:hAnsi="TimesNewRoman" w:cs="TimesNewRoman"/>
          <w:b w:val="0"/>
          <w:bCs w:val="0"/>
          <w:szCs w:val="21"/>
        </w:rPr>
      </w:pPr>
      <w:r>
        <w:rPr>
          <w:rStyle w:val="6"/>
          <w:rFonts w:ascii="TimesNewRoman" w:hAnsi="TimesNewRoman" w:cs="TimesNewRoman"/>
          <w:b w:val="0"/>
          <w:bCs w:val="0"/>
          <w:szCs w:val="21"/>
        </w:rPr>
        <w:t xml:space="preserve">      单位：万元</w:t>
      </w:r>
    </w:p>
    <w:tbl>
      <w:tblPr>
        <w:tblStyle w:val="4"/>
        <w:tblW w:w="892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50"/>
        <w:gridCol w:w="1080"/>
        <w:gridCol w:w="1730"/>
        <w:gridCol w:w="1810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“三公”经费合计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</w:t>
            </w:r>
          </w:p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公务用车运行费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330" w:firstLineChars="150"/>
              <w:jc w:val="left"/>
              <w:rPr>
                <w:rFonts w:hint="eastAsia" w:ascii="TimesNewRoman" w:hAnsi="TimesNewRoman" w:eastAsia="宋体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NewRoman" w:hAnsi="TimesNewRoman" w:eastAsia="宋体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NewRoman" w:hAnsi="TimesNewRoman" w:eastAsia="宋体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110" w:firstLineChars="50"/>
              <w:jc w:val="left"/>
              <w:rPr>
                <w:rFonts w:hint="eastAsia" w:ascii="TimesNewRoman" w:hAnsi="TimesNewRoman" w:eastAsia="宋体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110" w:firstLineChars="50"/>
              <w:jc w:val="left"/>
              <w:rPr>
                <w:rFonts w:hint="eastAsia" w:ascii="TimesNewRoman" w:hAnsi="TimesNewRoman" w:eastAsia="宋体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NewRoman" w:hAnsi="TimesNewRoman" w:eastAsia="宋体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</w:tr>
    </w:tbl>
    <w:p>
      <w:pPr>
        <w:spacing w:line="560" w:lineRule="exact"/>
        <w:outlineLvl w:val="0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TimesNewRoman" w:hAnsi="TimesNewRoman" w:eastAsia="黑体" w:cs="TimesNewRoman"/>
          <w:sz w:val="32"/>
          <w:szCs w:val="32"/>
        </w:rPr>
      </w:pPr>
      <w:r>
        <w:rPr>
          <w:rFonts w:ascii="TimesNewRoman" w:hAnsi="TimesNewRoman" w:eastAsia="黑体" w:cs="TimesNewRoman"/>
          <w:sz w:val="32"/>
          <w:szCs w:val="32"/>
        </w:rPr>
        <w:t>二、2024年一般公共预算“三公”经费支出预算情况说明</w:t>
      </w:r>
    </w:p>
    <w:p>
      <w:pPr>
        <w:pStyle w:val="3"/>
        <w:adjustRightInd w:val="0"/>
        <w:snapToGrid w:val="0"/>
        <w:spacing w:line="560" w:lineRule="exact"/>
        <w:ind w:firstLine="640" w:firstLineChars="200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ascii="TimesNewRoman" w:hAnsi="TimesNewRoman" w:eastAsia="仿宋_GB2312" w:cs="TimesNewRoman"/>
          <w:sz w:val="32"/>
          <w:szCs w:val="32"/>
        </w:rPr>
        <w:t>淮北市</w:t>
      </w:r>
      <w:r>
        <w:rPr>
          <w:rFonts w:hint="eastAsia" w:ascii="TimesNewRoman" w:hAnsi="TimesNewRoman" w:eastAsia="仿宋_GB2312" w:cs="TimesNewRoman"/>
          <w:sz w:val="32"/>
          <w:szCs w:val="32"/>
        </w:rPr>
        <w:t>商贸市场建设和物流业发展服务中心</w:t>
      </w:r>
      <w:r>
        <w:rPr>
          <w:rFonts w:ascii="TimesNewRoman" w:hAnsi="TimesNewRoman" w:eastAsia="仿宋_GB2312" w:cs="TimesNewRoman"/>
          <w:sz w:val="32"/>
          <w:szCs w:val="32"/>
        </w:rPr>
        <w:t>2024年一般公共预算“三公”经费支出预算为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0.5</w:t>
      </w:r>
      <w:r>
        <w:rPr>
          <w:rFonts w:ascii="TimesNewRoman" w:hAnsi="TimesNewRoman" w:eastAsia="仿宋_GB2312" w:cs="TimesNewRoman"/>
          <w:sz w:val="32"/>
          <w:szCs w:val="32"/>
        </w:rPr>
        <w:t>万元，比2023年预算减少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%。其中：因公出国（境）费支出预算为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万元，公务接待费支出预算为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0.5</w:t>
      </w:r>
      <w:r>
        <w:rPr>
          <w:rFonts w:ascii="TimesNewRoman" w:hAnsi="TimesNewRoman" w:eastAsia="仿宋_GB2312" w:cs="TimesNewRoman"/>
          <w:sz w:val="32"/>
          <w:szCs w:val="32"/>
        </w:rPr>
        <w:t>万元，公务用车购置及运行费支出预算为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万元。具体情况如下：</w:t>
      </w:r>
    </w:p>
    <w:p>
      <w:pPr>
        <w:pStyle w:val="3"/>
        <w:adjustRightInd w:val="0"/>
        <w:snapToGrid w:val="0"/>
        <w:spacing w:line="560" w:lineRule="exact"/>
        <w:ind w:firstLine="643" w:firstLineChars="200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ascii="TimesNewRoman" w:hAnsi="TimesNewRoman" w:eastAsia="仿宋_GB2312" w:cs="TimesNewRoman"/>
          <w:b/>
          <w:sz w:val="32"/>
          <w:szCs w:val="32"/>
        </w:rPr>
        <w:t>（一）因公出国（境）费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万元, 比2023年预算减少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%。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主要原因为本单位无因公出国（境）费。</w:t>
      </w:r>
      <w:r>
        <w:rPr>
          <w:rFonts w:hint="eastAsia" w:ascii="TimesNewRoman" w:hAnsi="TimesNewRoman" w:eastAsia="仿宋_GB2312" w:cs="TimesNewRoman"/>
          <w:sz w:val="32"/>
          <w:szCs w:val="32"/>
        </w:rPr>
        <w:t>经费使用严格按照《</w:t>
      </w:r>
      <w:r>
        <w:rPr>
          <w:rFonts w:ascii="TimesNewRoman" w:hAnsi="TimesNewRoman" w:eastAsia="仿宋_GB2312" w:cs="TimesNewRoman"/>
          <w:bCs/>
          <w:sz w:val="32"/>
          <w:szCs w:val="32"/>
        </w:rPr>
        <w:t>淮北市财政局 淮北市外事办公室关于转发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&lt;</w:t>
      </w:r>
      <w:r>
        <w:rPr>
          <w:rFonts w:ascii="TimesNewRoman" w:hAnsi="TimesNewRoman" w:eastAsia="仿宋_GB2312" w:cs="TimesNewRoman"/>
          <w:bCs/>
          <w:sz w:val="32"/>
          <w:szCs w:val="32"/>
        </w:rPr>
        <w:t>安徽省省直党政机关因公临时出国经费管理办法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&gt;</w:t>
      </w:r>
      <w:r>
        <w:rPr>
          <w:rFonts w:ascii="TimesNewRoman" w:hAnsi="TimesNewRoman" w:eastAsia="仿宋_GB2312" w:cs="TimesNewRoman"/>
          <w:bCs/>
          <w:sz w:val="32"/>
          <w:szCs w:val="32"/>
        </w:rPr>
        <w:t>》的通知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（</w:t>
      </w:r>
      <w:r>
        <w:rPr>
          <w:rFonts w:ascii="TimesNewRoman" w:hAnsi="TimesNewRoman" w:eastAsia="仿宋_GB2312" w:cs="TimesNewRoman"/>
          <w:bCs/>
          <w:sz w:val="32"/>
          <w:szCs w:val="32"/>
        </w:rPr>
        <w:t>财行〔2014〕327号</w:t>
      </w:r>
      <w:r>
        <w:rPr>
          <w:rFonts w:hint="eastAsia" w:ascii="TimesNewRoman" w:hAnsi="TimesNewRoman" w:eastAsia="仿宋_GB2312" w:cs="TimesNewRoman"/>
          <w:bCs/>
          <w:sz w:val="32"/>
          <w:szCs w:val="32"/>
        </w:rPr>
        <w:t>）</w:t>
      </w:r>
      <w:r>
        <w:rPr>
          <w:rFonts w:hint="eastAsia" w:ascii="TimesNewRoman" w:hAnsi="TimesNewRoman" w:eastAsia="仿宋_GB2312" w:cs="TimesNewRoman"/>
          <w:sz w:val="32"/>
          <w:szCs w:val="32"/>
        </w:rPr>
        <w:t>文件相关规定执行。</w:t>
      </w:r>
    </w:p>
    <w:p>
      <w:pPr>
        <w:pStyle w:val="3"/>
        <w:adjustRightInd w:val="0"/>
        <w:snapToGrid w:val="0"/>
        <w:spacing w:line="560" w:lineRule="exact"/>
        <w:ind w:firstLine="643" w:firstLineChars="200"/>
        <w:rPr>
          <w:rFonts w:ascii="TimesNewRoman" w:hAnsi="TimesNewRoman" w:eastAsia="仿宋_GB2312" w:cs="TimesNewRoman"/>
          <w:color w:val="FF0000"/>
          <w:sz w:val="32"/>
          <w:szCs w:val="32"/>
        </w:rPr>
      </w:pPr>
      <w:r>
        <w:rPr>
          <w:rFonts w:ascii="TimesNewRoman" w:hAnsi="TimesNewRoman" w:eastAsia="仿宋_GB2312" w:cs="TimesNewRoman"/>
          <w:b/>
          <w:sz w:val="32"/>
          <w:szCs w:val="32"/>
        </w:rPr>
        <w:t>（二）公务用车购置及运行费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万元，比2023年预算减少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%。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主要原因为本单位无公务用车购置及运行费。</w:t>
      </w:r>
      <w:r>
        <w:rPr>
          <w:rFonts w:ascii="TimesNewRoman" w:hAnsi="TimesNewRoman" w:eastAsia="仿宋_GB2312" w:cs="TimesNewRoman"/>
          <w:sz w:val="32"/>
          <w:szCs w:val="32"/>
        </w:rPr>
        <w:t>其中：公务用车运行费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万元，比2023年预算减少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color w:val="auto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color w:val="auto"/>
          <w:sz w:val="32"/>
          <w:szCs w:val="32"/>
        </w:rPr>
        <w:t>%。公务用车购置费</w:t>
      </w:r>
      <w:r>
        <w:rPr>
          <w:rFonts w:hint="eastAsia" w:ascii="TimesNewRoman" w:hAnsi="TimesNewRoman" w:eastAsia="仿宋_GB2312" w:cs="TimesNewRoman"/>
          <w:color w:val="auto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color w:val="auto"/>
          <w:sz w:val="32"/>
          <w:szCs w:val="32"/>
        </w:rPr>
        <w:t>万元，比2023年预算减少</w:t>
      </w:r>
      <w:r>
        <w:rPr>
          <w:rFonts w:hint="eastAsia" w:ascii="TimesNewRoman" w:hAnsi="TimesNewRoman" w:eastAsia="仿宋_GB2312" w:cs="TimesNewRoman"/>
          <w:color w:val="auto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color w:val="auto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color w:val="auto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color w:val="auto"/>
          <w:sz w:val="32"/>
          <w:szCs w:val="32"/>
        </w:rPr>
        <w:t>%。</w:t>
      </w:r>
    </w:p>
    <w:p>
      <w:pPr>
        <w:pStyle w:val="3"/>
        <w:adjustRightInd w:val="0"/>
        <w:snapToGrid w:val="0"/>
        <w:spacing w:line="560" w:lineRule="exact"/>
        <w:ind w:firstLine="643" w:firstLineChars="200"/>
        <w:rPr>
          <w:rFonts w:ascii="TimesNewRoman" w:hAnsi="TimesNewRoman" w:eastAsia="仿宋_GB2312" w:cs="TimesNewRoman"/>
          <w:sz w:val="32"/>
          <w:szCs w:val="32"/>
        </w:rPr>
      </w:pPr>
      <w:bookmarkStart w:id="0" w:name="_GoBack"/>
      <w:bookmarkEnd w:id="0"/>
      <w:r>
        <w:rPr>
          <w:rFonts w:ascii="TimesNewRoman" w:hAnsi="TimesNewRoman" w:eastAsia="仿宋_GB2312" w:cs="TimesNewRoman"/>
          <w:b/>
          <w:sz w:val="32"/>
          <w:szCs w:val="32"/>
        </w:rPr>
        <w:t>（三）公务接待费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0.5</w:t>
      </w:r>
      <w:r>
        <w:rPr>
          <w:rFonts w:ascii="TimesNewRoman" w:hAnsi="TimesNewRoman" w:eastAsia="仿宋_GB2312" w:cs="TimesNewRoman"/>
          <w:sz w:val="32"/>
          <w:szCs w:val="32"/>
        </w:rPr>
        <w:t>万元，比2023年预算减少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万元，下降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%。</w:t>
      </w:r>
      <w:r>
        <w:rPr>
          <w:rFonts w:hint="eastAsia" w:ascii="TimesNewRoman" w:hAnsi="TimesNewRoman" w:eastAsia="仿宋_GB2312" w:cs="TimesNewRoman"/>
          <w:sz w:val="32"/>
          <w:szCs w:val="32"/>
        </w:rPr>
        <w:t>经费使用严格按照中央八项规定、省委省政府30条、市委市政府20条要求，以及《党政机关厉行节约反对浪费条例》（中发〔2013〕13号）和《淮北市市直单位接待经费管理暂行办法》（财行〔2013〕133号）等文件规定执行。</w:t>
      </w: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rPr>
          <w:rFonts w:hint="eastAsia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">
    <w:altName w:val="Segoe Print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03373"/>
    <w:rsid w:val="25103373"/>
    <w:rsid w:val="29A7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2024-03-06T08:30:00Z</dcterms:created>
  <dc:creator>徐肖</dc:creator>
  <cp:lastModifiedBy>徐肖</cp:lastModifiedBy>
  <dcterms:modified xsi:type="dcterms:W3CDTF">2024-12-13T01:13:03Z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