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NewRoman" w:hAnsi="TimesNewRoman" w:eastAsia="黑体" w:cs="TimesNewRoman"/>
          <w:szCs w:val="32"/>
          <w:highlight w:val="none"/>
        </w:rPr>
      </w:pPr>
      <w:bookmarkStart w:id="0" w:name="_GoBack"/>
      <w:r>
        <w:rPr>
          <w:rFonts w:hint="eastAsia" w:ascii="TimesNewRoman" w:hAnsi="TimesNewRoman" w:eastAsia="黑体" w:cs="TimesNewRoman"/>
          <w:szCs w:val="32"/>
          <w:highlight w:val="none"/>
        </w:rPr>
        <w:t>附件1-1</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spacing w:line="560" w:lineRule="exact"/>
        <w:jc w:val="center"/>
        <w:rPr>
          <w:rFonts w:ascii="TimesNewRoman" w:hAnsi="TimesNewRoman" w:eastAsia="华文中宋" w:cs="TimesNewRoman"/>
          <w:b/>
          <w:sz w:val="44"/>
          <w:szCs w:val="44"/>
          <w:highlight w:val="none"/>
        </w:rPr>
      </w:pPr>
      <w:r>
        <w:rPr>
          <w:rFonts w:hint="eastAsia" w:ascii="TimesNewRoman" w:hAnsi="TimesNewRoman" w:eastAsia="华文中宋" w:cs="TimesNewRoman"/>
          <w:b/>
          <w:sz w:val="44"/>
          <w:szCs w:val="44"/>
          <w:highlight w:val="none"/>
          <w:lang w:eastAsia="zh-CN"/>
        </w:rPr>
        <w:t>淮北市商务局</w:t>
      </w:r>
      <w:r>
        <w:rPr>
          <w:rFonts w:hint="eastAsia" w:ascii="TimesNewRoman" w:hAnsi="TimesNewRoman" w:eastAsia="华文中宋" w:cs="TimesNewRoman"/>
          <w:b/>
          <w:sz w:val="44"/>
          <w:szCs w:val="44"/>
          <w:highlight w:val="none"/>
        </w:rPr>
        <w:t>2025年</w:t>
      </w:r>
    </w:p>
    <w:p>
      <w:pPr>
        <w:spacing w:line="560" w:lineRule="exact"/>
        <w:jc w:val="center"/>
        <w:rPr>
          <w:rFonts w:ascii="TimesNewRoman" w:hAnsi="TimesNewRoman" w:eastAsia="华文中宋" w:cs="TimesNewRoman"/>
          <w:b/>
          <w:sz w:val="44"/>
          <w:szCs w:val="44"/>
          <w:highlight w:val="none"/>
        </w:rPr>
      </w:pPr>
      <w:r>
        <w:rPr>
          <w:rFonts w:hint="eastAsia" w:ascii="TimesNewRoman" w:hAnsi="TimesNewRoman" w:eastAsia="华文中宋" w:cs="TimesNewRoman"/>
          <w:b/>
          <w:sz w:val="44"/>
          <w:szCs w:val="44"/>
          <w:highlight w:val="none"/>
        </w:rPr>
        <w:t>部门预算</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7"/>
        <w:adjustRightInd w:val="0"/>
        <w:snapToGrid w:val="0"/>
        <w:spacing w:line="560" w:lineRule="exact"/>
        <w:jc w:val="center"/>
        <w:rPr>
          <w:rFonts w:ascii="TimesNewRoman" w:hAnsi="TimesNewRoman" w:eastAsia="黑体" w:cs="TimesNewRoman"/>
          <w:bCs/>
          <w:sz w:val="44"/>
          <w:szCs w:val="44"/>
          <w:highlight w:val="none"/>
        </w:rPr>
      </w:pPr>
    </w:p>
    <w:p>
      <w:pPr>
        <w:pStyle w:val="7"/>
        <w:adjustRightInd w:val="0"/>
        <w:snapToGrid w:val="0"/>
        <w:spacing w:line="560" w:lineRule="exact"/>
        <w:jc w:val="center"/>
        <w:rPr>
          <w:rFonts w:ascii="TimesNewRoman" w:hAnsi="TimesNewRoman" w:eastAsia="黑体" w:cs="TimesNewRoman"/>
          <w:bCs/>
          <w:sz w:val="44"/>
          <w:szCs w:val="44"/>
          <w:highlight w:val="none"/>
        </w:rPr>
      </w:pPr>
      <w:r>
        <w:rPr>
          <w:rFonts w:hint="eastAsia" w:ascii="TimesNewRoman" w:hAnsi="TimesNewRoman" w:eastAsia="黑体" w:cs="TimesNewRoman"/>
          <w:bCs/>
          <w:sz w:val="44"/>
          <w:szCs w:val="44"/>
          <w:highlight w:val="none"/>
        </w:rPr>
        <w:t>2025年</w:t>
      </w:r>
      <w:r>
        <w:rPr>
          <w:rFonts w:hint="eastAsia" w:ascii="TimesNewRoman" w:hAnsi="TimesNewRoman" w:eastAsia="黑体" w:cs="TimesNewRoman"/>
          <w:bCs/>
          <w:sz w:val="44"/>
          <w:szCs w:val="44"/>
          <w:highlight w:val="none"/>
          <w:lang w:val="en-US" w:eastAsia="zh-CN"/>
        </w:rPr>
        <w:t>2</w:t>
      </w:r>
      <w:r>
        <w:rPr>
          <w:rFonts w:hint="eastAsia" w:ascii="TimesNewRoman" w:hAnsi="TimesNewRoman" w:eastAsia="黑体" w:cs="TimesNewRoman"/>
          <w:bCs/>
          <w:sz w:val="44"/>
          <w:szCs w:val="44"/>
          <w:highlight w:val="none"/>
        </w:rPr>
        <w:t>月</w:t>
      </w:r>
    </w:p>
    <w:p>
      <w:pPr>
        <w:rPr>
          <w:highlight w:val="none"/>
        </w:rPr>
      </w:pPr>
    </w:p>
    <w:p>
      <w:pPr>
        <w:rPr>
          <w:highlight w:val="none"/>
        </w:rPr>
      </w:pPr>
    </w:p>
    <w:p>
      <w:pPr>
        <w:pStyle w:val="7"/>
        <w:adjustRightInd w:val="0"/>
        <w:snapToGrid w:val="0"/>
        <w:spacing w:line="560" w:lineRule="exact"/>
        <w:jc w:val="center"/>
        <w:rPr>
          <w:rFonts w:ascii="TimesNewRoman" w:hAnsi="TimesNewRoman" w:eastAsia="黑体" w:cs="TimesNewRoman"/>
          <w:bCs/>
          <w:sz w:val="44"/>
          <w:szCs w:val="44"/>
          <w:highlight w:val="none"/>
        </w:rPr>
      </w:pPr>
      <w:r>
        <w:rPr>
          <w:rFonts w:hint="eastAsia" w:ascii="TimesNewRoman" w:hAnsi="TimesNewRoman" w:eastAsia="黑体" w:cs="TimesNewRoman"/>
          <w:bCs/>
          <w:sz w:val="44"/>
          <w:szCs w:val="44"/>
          <w:highlight w:val="none"/>
        </w:rPr>
        <w:t>目  录</w:t>
      </w:r>
    </w:p>
    <w:p>
      <w:pPr>
        <w:rPr>
          <w:highlight w:val="none"/>
        </w:rPr>
      </w:pPr>
    </w:p>
    <w:p>
      <w:pPr>
        <w:pStyle w:val="7"/>
        <w:adjustRightInd w:val="0"/>
        <w:snapToGrid w:val="0"/>
        <w:spacing w:line="400" w:lineRule="exact"/>
        <w:ind w:firstLine="643" w:firstLineChars="200"/>
        <w:rPr>
          <w:rFonts w:ascii="TimesNewRoman" w:hAnsi="TimesNewRoman" w:eastAsia="仿宋_GB2312" w:cs="TimesNewRoman"/>
          <w:b/>
          <w:sz w:val="32"/>
          <w:szCs w:val="32"/>
          <w:highlight w:val="none"/>
        </w:rPr>
      </w:pPr>
      <w:r>
        <w:rPr>
          <w:rFonts w:hint="eastAsia" w:ascii="TimesNewRoman" w:hAnsi="TimesNewRoman" w:eastAsia="仿宋_GB2312" w:cs="TimesNewRoman"/>
          <w:b/>
          <w:sz w:val="32"/>
          <w:szCs w:val="32"/>
          <w:highlight w:val="none"/>
        </w:rPr>
        <w:t>第一部分 部门概况</w:t>
      </w:r>
    </w:p>
    <w:p>
      <w:pPr>
        <w:pStyle w:val="7"/>
        <w:adjustRightInd w:val="0"/>
        <w:snapToGrid w:val="0"/>
        <w:spacing w:line="400" w:lineRule="exact"/>
        <w:ind w:firstLine="800" w:firstLineChars="250"/>
        <w:rPr>
          <w:rFonts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1、主要职责</w:t>
      </w:r>
    </w:p>
    <w:p>
      <w:pPr>
        <w:pStyle w:val="7"/>
        <w:adjustRightInd w:val="0"/>
        <w:snapToGrid w:val="0"/>
        <w:spacing w:line="400" w:lineRule="exact"/>
        <w:ind w:firstLine="800" w:firstLineChars="250"/>
        <w:rPr>
          <w:rFonts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2、部门预算构成</w:t>
      </w:r>
    </w:p>
    <w:p>
      <w:pPr>
        <w:pStyle w:val="7"/>
        <w:adjustRightInd w:val="0"/>
        <w:snapToGrid w:val="0"/>
        <w:spacing w:line="400" w:lineRule="exact"/>
        <w:ind w:firstLine="800" w:firstLineChars="250"/>
        <w:rPr>
          <w:rFonts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3 、2025年度主要工作任务</w:t>
      </w:r>
    </w:p>
    <w:p>
      <w:pPr>
        <w:pStyle w:val="7"/>
        <w:adjustRightInd w:val="0"/>
        <w:snapToGrid w:val="0"/>
        <w:spacing w:line="400" w:lineRule="exact"/>
        <w:ind w:firstLine="643" w:firstLineChars="200"/>
        <w:rPr>
          <w:rFonts w:ascii="TimesNewRoman" w:hAnsi="TimesNewRoman" w:eastAsia="仿宋_GB2312" w:cs="TimesNewRoman"/>
          <w:b/>
          <w:sz w:val="32"/>
          <w:szCs w:val="32"/>
          <w:highlight w:val="none"/>
        </w:rPr>
      </w:pPr>
      <w:r>
        <w:rPr>
          <w:rFonts w:hint="eastAsia" w:ascii="TimesNewRoman" w:hAnsi="TimesNewRoman" w:eastAsia="仿宋_GB2312" w:cs="TimesNewRoman"/>
          <w:b/>
          <w:sz w:val="32"/>
          <w:szCs w:val="32"/>
          <w:highlight w:val="none"/>
        </w:rPr>
        <w:t>第二部分 2025年部门预算表</w:t>
      </w:r>
    </w:p>
    <w:p>
      <w:pPr>
        <w:pStyle w:val="7"/>
        <w:adjustRightInd w:val="0"/>
        <w:snapToGrid w:val="0"/>
        <w:spacing w:line="400" w:lineRule="exact"/>
        <w:ind w:firstLine="800" w:firstLineChars="250"/>
        <w:rPr>
          <w:rFonts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1、</w:t>
      </w:r>
      <w:r>
        <w:rPr>
          <w:rFonts w:hint="eastAsia" w:ascii="TimesNewRoman" w:hAnsi="TimesNewRoman" w:eastAsia="仿宋_GB2312" w:cs="TimesNewRoman"/>
          <w:bCs/>
          <w:sz w:val="32"/>
          <w:szCs w:val="32"/>
          <w:highlight w:val="none"/>
          <w:lang w:eastAsia="zh-CN"/>
        </w:rPr>
        <w:t>淮北市商务局</w:t>
      </w:r>
      <w:r>
        <w:rPr>
          <w:rFonts w:hint="eastAsia" w:ascii="TimesNewRoman" w:hAnsi="TimesNewRoman" w:eastAsia="仿宋_GB2312" w:cs="TimesNewRoman"/>
          <w:bCs/>
          <w:sz w:val="32"/>
          <w:szCs w:val="32"/>
          <w:highlight w:val="none"/>
        </w:rPr>
        <w:t>2025年收支总表</w:t>
      </w:r>
    </w:p>
    <w:p>
      <w:pPr>
        <w:pStyle w:val="7"/>
        <w:adjustRightInd w:val="0"/>
        <w:snapToGrid w:val="0"/>
        <w:spacing w:line="400" w:lineRule="exact"/>
        <w:ind w:firstLine="800" w:firstLineChars="250"/>
        <w:rPr>
          <w:rFonts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2、</w:t>
      </w:r>
      <w:r>
        <w:rPr>
          <w:rFonts w:hint="eastAsia" w:ascii="TimesNewRoman" w:hAnsi="TimesNewRoman" w:eastAsia="仿宋_GB2312" w:cs="TimesNewRoman"/>
          <w:bCs/>
          <w:sz w:val="32"/>
          <w:szCs w:val="32"/>
          <w:highlight w:val="none"/>
          <w:lang w:eastAsia="zh-CN"/>
        </w:rPr>
        <w:t>淮北市商务局</w:t>
      </w:r>
      <w:r>
        <w:rPr>
          <w:rFonts w:hint="eastAsia" w:ascii="TimesNewRoman" w:hAnsi="TimesNewRoman" w:eastAsia="仿宋_GB2312" w:cs="TimesNewRoman"/>
          <w:bCs/>
          <w:sz w:val="32"/>
          <w:szCs w:val="32"/>
          <w:highlight w:val="none"/>
        </w:rPr>
        <w:t>2025年收入总表</w:t>
      </w:r>
    </w:p>
    <w:p>
      <w:pPr>
        <w:pStyle w:val="7"/>
        <w:adjustRightInd w:val="0"/>
        <w:snapToGrid w:val="0"/>
        <w:spacing w:line="400" w:lineRule="exact"/>
        <w:ind w:firstLine="800" w:firstLineChars="250"/>
        <w:rPr>
          <w:rFonts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3、</w:t>
      </w:r>
      <w:r>
        <w:rPr>
          <w:rFonts w:hint="eastAsia" w:ascii="TimesNewRoman" w:hAnsi="TimesNewRoman" w:eastAsia="仿宋_GB2312" w:cs="TimesNewRoman"/>
          <w:bCs/>
          <w:sz w:val="32"/>
          <w:szCs w:val="32"/>
          <w:highlight w:val="none"/>
          <w:lang w:eastAsia="zh-CN"/>
        </w:rPr>
        <w:t>淮北市商务局</w:t>
      </w:r>
      <w:r>
        <w:rPr>
          <w:rFonts w:hint="eastAsia" w:ascii="TimesNewRoman" w:hAnsi="TimesNewRoman" w:eastAsia="仿宋_GB2312" w:cs="TimesNewRoman"/>
          <w:bCs/>
          <w:sz w:val="32"/>
          <w:szCs w:val="32"/>
          <w:highlight w:val="none"/>
        </w:rPr>
        <w:t>2025年支出总表</w:t>
      </w:r>
    </w:p>
    <w:p>
      <w:pPr>
        <w:pStyle w:val="7"/>
        <w:adjustRightInd w:val="0"/>
        <w:snapToGrid w:val="0"/>
        <w:spacing w:line="400" w:lineRule="exact"/>
        <w:ind w:firstLine="800" w:firstLineChars="250"/>
        <w:rPr>
          <w:rFonts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4、</w:t>
      </w:r>
      <w:r>
        <w:rPr>
          <w:rFonts w:hint="eastAsia" w:ascii="TimesNewRoman" w:hAnsi="TimesNewRoman" w:eastAsia="仿宋_GB2312" w:cs="TimesNewRoman"/>
          <w:bCs/>
          <w:sz w:val="32"/>
          <w:szCs w:val="32"/>
          <w:highlight w:val="none"/>
          <w:lang w:eastAsia="zh-CN"/>
        </w:rPr>
        <w:t>淮北市商务局</w:t>
      </w:r>
      <w:r>
        <w:rPr>
          <w:rFonts w:hint="eastAsia" w:ascii="TimesNewRoman" w:hAnsi="TimesNewRoman" w:eastAsia="仿宋_GB2312" w:cs="TimesNewRoman"/>
          <w:bCs/>
          <w:sz w:val="32"/>
          <w:szCs w:val="32"/>
          <w:highlight w:val="none"/>
        </w:rPr>
        <w:t>2025年财政拨款收支总表</w:t>
      </w:r>
    </w:p>
    <w:p>
      <w:pPr>
        <w:pStyle w:val="7"/>
        <w:adjustRightInd w:val="0"/>
        <w:snapToGrid w:val="0"/>
        <w:spacing w:line="400" w:lineRule="exact"/>
        <w:ind w:firstLine="800" w:firstLineChars="250"/>
        <w:rPr>
          <w:rFonts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5、</w:t>
      </w:r>
      <w:r>
        <w:rPr>
          <w:rFonts w:hint="eastAsia" w:ascii="TimesNewRoman" w:hAnsi="TimesNewRoman" w:eastAsia="仿宋_GB2312" w:cs="TimesNewRoman"/>
          <w:bCs/>
          <w:sz w:val="32"/>
          <w:szCs w:val="32"/>
          <w:highlight w:val="none"/>
          <w:lang w:eastAsia="zh-CN"/>
        </w:rPr>
        <w:t>淮北市商务局</w:t>
      </w:r>
      <w:r>
        <w:rPr>
          <w:rFonts w:hint="eastAsia" w:ascii="TimesNewRoman" w:hAnsi="TimesNewRoman" w:eastAsia="仿宋_GB2312" w:cs="TimesNewRoman"/>
          <w:bCs/>
          <w:sz w:val="32"/>
          <w:szCs w:val="32"/>
          <w:highlight w:val="none"/>
        </w:rPr>
        <w:t>2025年一般公共预算支出表</w:t>
      </w:r>
    </w:p>
    <w:p>
      <w:pPr>
        <w:pStyle w:val="7"/>
        <w:adjustRightInd w:val="0"/>
        <w:snapToGrid w:val="0"/>
        <w:spacing w:line="400" w:lineRule="exact"/>
        <w:ind w:firstLine="800" w:firstLineChars="250"/>
        <w:rPr>
          <w:rFonts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6、</w:t>
      </w:r>
      <w:r>
        <w:rPr>
          <w:rFonts w:hint="eastAsia" w:ascii="TimesNewRoman" w:hAnsi="TimesNewRoman" w:eastAsia="仿宋_GB2312" w:cs="TimesNewRoman"/>
          <w:bCs/>
          <w:sz w:val="32"/>
          <w:szCs w:val="32"/>
          <w:highlight w:val="none"/>
          <w:lang w:eastAsia="zh-CN"/>
        </w:rPr>
        <w:t>淮北市商务局</w:t>
      </w:r>
      <w:r>
        <w:rPr>
          <w:rFonts w:hint="eastAsia" w:ascii="TimesNewRoman" w:hAnsi="TimesNewRoman" w:eastAsia="仿宋_GB2312" w:cs="TimesNewRoman"/>
          <w:bCs/>
          <w:sz w:val="32"/>
          <w:szCs w:val="32"/>
          <w:highlight w:val="none"/>
        </w:rPr>
        <w:t>2025年一般公共预算基本支出表</w:t>
      </w:r>
    </w:p>
    <w:p>
      <w:pPr>
        <w:pStyle w:val="7"/>
        <w:adjustRightInd w:val="0"/>
        <w:snapToGrid w:val="0"/>
        <w:spacing w:line="400" w:lineRule="exact"/>
        <w:ind w:firstLine="800" w:firstLineChars="250"/>
        <w:rPr>
          <w:rFonts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7、</w:t>
      </w:r>
      <w:r>
        <w:rPr>
          <w:rFonts w:hint="eastAsia" w:ascii="TimesNewRoman" w:hAnsi="TimesNewRoman" w:eastAsia="仿宋_GB2312" w:cs="TimesNewRoman"/>
          <w:bCs/>
          <w:sz w:val="32"/>
          <w:szCs w:val="32"/>
          <w:highlight w:val="none"/>
          <w:lang w:eastAsia="zh-CN"/>
        </w:rPr>
        <w:t>淮北市商务局</w:t>
      </w:r>
      <w:r>
        <w:rPr>
          <w:rFonts w:hint="eastAsia" w:ascii="TimesNewRoman" w:hAnsi="TimesNewRoman" w:eastAsia="仿宋_GB2312" w:cs="TimesNewRoman"/>
          <w:bCs/>
          <w:sz w:val="32"/>
          <w:szCs w:val="32"/>
          <w:highlight w:val="none"/>
        </w:rPr>
        <w:t>2025年政府性基金预算支出表</w:t>
      </w:r>
    </w:p>
    <w:p>
      <w:pPr>
        <w:pStyle w:val="7"/>
        <w:adjustRightInd w:val="0"/>
        <w:snapToGrid w:val="0"/>
        <w:spacing w:line="400" w:lineRule="exact"/>
        <w:ind w:firstLine="800" w:firstLineChars="250"/>
        <w:rPr>
          <w:rFonts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8、</w:t>
      </w:r>
      <w:r>
        <w:rPr>
          <w:rFonts w:hint="eastAsia" w:ascii="TimesNewRoman" w:hAnsi="TimesNewRoman" w:eastAsia="仿宋_GB2312" w:cs="TimesNewRoman"/>
          <w:bCs/>
          <w:sz w:val="32"/>
          <w:szCs w:val="32"/>
          <w:highlight w:val="none"/>
          <w:lang w:eastAsia="zh-CN"/>
        </w:rPr>
        <w:t>淮北市商务局</w:t>
      </w:r>
      <w:r>
        <w:rPr>
          <w:rFonts w:hint="eastAsia" w:ascii="TimesNewRoman" w:hAnsi="TimesNewRoman" w:eastAsia="仿宋_GB2312" w:cs="TimesNewRoman"/>
          <w:bCs/>
          <w:sz w:val="32"/>
          <w:szCs w:val="32"/>
          <w:highlight w:val="none"/>
        </w:rPr>
        <w:t>2025年国有资本经营预算支出表</w:t>
      </w:r>
    </w:p>
    <w:p>
      <w:pPr>
        <w:pStyle w:val="7"/>
        <w:adjustRightInd w:val="0"/>
        <w:snapToGrid w:val="0"/>
        <w:spacing w:line="400" w:lineRule="exact"/>
        <w:ind w:firstLine="800" w:firstLineChars="250"/>
        <w:rPr>
          <w:rFonts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9、</w:t>
      </w:r>
      <w:r>
        <w:rPr>
          <w:rFonts w:hint="eastAsia" w:ascii="TimesNewRoman" w:hAnsi="TimesNewRoman" w:eastAsia="仿宋_GB2312" w:cs="TimesNewRoman"/>
          <w:bCs/>
          <w:sz w:val="32"/>
          <w:szCs w:val="32"/>
          <w:highlight w:val="none"/>
          <w:lang w:eastAsia="zh-CN"/>
        </w:rPr>
        <w:t>淮北市商务局</w:t>
      </w:r>
      <w:r>
        <w:rPr>
          <w:rFonts w:hint="eastAsia" w:ascii="TimesNewRoman" w:hAnsi="TimesNewRoman" w:eastAsia="仿宋_GB2312" w:cs="TimesNewRoman"/>
          <w:bCs/>
          <w:sz w:val="32"/>
          <w:szCs w:val="32"/>
          <w:highlight w:val="none"/>
        </w:rPr>
        <w:t>2025年项目支出表</w:t>
      </w:r>
    </w:p>
    <w:p>
      <w:pPr>
        <w:pStyle w:val="7"/>
        <w:adjustRightInd w:val="0"/>
        <w:snapToGrid w:val="0"/>
        <w:spacing w:line="400" w:lineRule="exact"/>
        <w:ind w:firstLine="800" w:firstLineChars="250"/>
        <w:rPr>
          <w:rFonts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10、</w:t>
      </w:r>
      <w:r>
        <w:rPr>
          <w:rFonts w:hint="eastAsia" w:ascii="TimesNewRoman" w:hAnsi="TimesNewRoman" w:eastAsia="仿宋_GB2312" w:cs="TimesNewRoman"/>
          <w:bCs/>
          <w:sz w:val="32"/>
          <w:szCs w:val="32"/>
          <w:highlight w:val="none"/>
          <w:lang w:eastAsia="zh-CN"/>
        </w:rPr>
        <w:t>淮北市商务局</w:t>
      </w:r>
      <w:r>
        <w:rPr>
          <w:rFonts w:hint="eastAsia" w:ascii="TimesNewRoman" w:hAnsi="TimesNewRoman" w:eastAsia="仿宋_GB2312" w:cs="TimesNewRoman"/>
          <w:bCs/>
          <w:sz w:val="32"/>
          <w:szCs w:val="32"/>
          <w:highlight w:val="none"/>
        </w:rPr>
        <w:t>2025年政府采购支出表</w:t>
      </w:r>
    </w:p>
    <w:p>
      <w:pPr>
        <w:pStyle w:val="7"/>
        <w:adjustRightInd w:val="0"/>
        <w:snapToGrid w:val="0"/>
        <w:spacing w:line="400" w:lineRule="exact"/>
        <w:ind w:firstLine="800" w:firstLineChars="250"/>
        <w:rPr>
          <w:rFonts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11、</w:t>
      </w:r>
      <w:r>
        <w:rPr>
          <w:rFonts w:hint="eastAsia" w:ascii="TimesNewRoman" w:hAnsi="TimesNewRoman" w:eastAsia="仿宋_GB2312" w:cs="TimesNewRoman"/>
          <w:bCs/>
          <w:sz w:val="32"/>
          <w:szCs w:val="32"/>
          <w:highlight w:val="none"/>
          <w:lang w:eastAsia="zh-CN"/>
        </w:rPr>
        <w:t>淮北市商务局</w:t>
      </w:r>
      <w:r>
        <w:rPr>
          <w:rFonts w:hint="eastAsia" w:ascii="TimesNewRoman" w:hAnsi="TimesNewRoman" w:eastAsia="仿宋_GB2312" w:cs="TimesNewRoman"/>
          <w:bCs/>
          <w:sz w:val="32"/>
          <w:szCs w:val="32"/>
          <w:highlight w:val="none"/>
        </w:rPr>
        <w:t>2025年政府购买服务支出表</w:t>
      </w:r>
    </w:p>
    <w:p>
      <w:pPr>
        <w:pStyle w:val="7"/>
        <w:adjustRightInd w:val="0"/>
        <w:snapToGrid w:val="0"/>
        <w:spacing w:line="400" w:lineRule="exact"/>
        <w:ind w:firstLine="800" w:firstLineChars="250"/>
        <w:rPr>
          <w:rFonts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12、</w:t>
      </w:r>
      <w:r>
        <w:rPr>
          <w:rFonts w:hint="eastAsia" w:ascii="TimesNewRoman" w:hAnsi="TimesNewRoman" w:eastAsia="仿宋_GB2312" w:cs="TimesNewRoman"/>
          <w:bCs/>
          <w:sz w:val="32"/>
          <w:szCs w:val="32"/>
          <w:highlight w:val="none"/>
          <w:lang w:eastAsia="zh-CN"/>
        </w:rPr>
        <w:t>淮北市商务局</w:t>
      </w:r>
      <w:r>
        <w:rPr>
          <w:rFonts w:ascii="TimesNewRoman" w:hAnsi="TimesNewRoman" w:eastAsia="仿宋_GB2312" w:cs="TimesNewRoman"/>
          <w:bCs/>
          <w:sz w:val="32"/>
          <w:szCs w:val="32"/>
          <w:highlight w:val="none"/>
        </w:rPr>
        <w:t>2025年通用资产配置支出表</w:t>
      </w:r>
    </w:p>
    <w:p>
      <w:pPr>
        <w:pStyle w:val="7"/>
        <w:adjustRightInd w:val="0"/>
        <w:snapToGrid w:val="0"/>
        <w:spacing w:line="400" w:lineRule="exact"/>
        <w:ind w:firstLine="643" w:firstLineChars="200"/>
        <w:rPr>
          <w:rFonts w:ascii="TimesNewRoman" w:hAnsi="TimesNewRoman" w:eastAsia="仿宋_GB2312" w:cs="TimesNewRoman"/>
          <w:b/>
          <w:sz w:val="32"/>
          <w:szCs w:val="32"/>
          <w:highlight w:val="none"/>
        </w:rPr>
      </w:pPr>
      <w:r>
        <w:rPr>
          <w:rFonts w:hint="eastAsia" w:ascii="TimesNewRoman" w:hAnsi="TimesNewRoman" w:eastAsia="仿宋_GB2312" w:cs="TimesNewRoman"/>
          <w:b/>
          <w:sz w:val="32"/>
          <w:szCs w:val="32"/>
          <w:highlight w:val="none"/>
        </w:rPr>
        <w:t>第三部分 2025年部门预算情况说明</w:t>
      </w:r>
    </w:p>
    <w:p>
      <w:pPr>
        <w:pStyle w:val="7"/>
        <w:adjustRightInd w:val="0"/>
        <w:snapToGrid w:val="0"/>
        <w:spacing w:line="400" w:lineRule="exact"/>
        <w:ind w:firstLine="800" w:firstLineChars="250"/>
        <w:rPr>
          <w:rFonts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1、关于2025年收支总表的说明</w:t>
      </w:r>
    </w:p>
    <w:p>
      <w:pPr>
        <w:pStyle w:val="7"/>
        <w:adjustRightInd w:val="0"/>
        <w:snapToGrid w:val="0"/>
        <w:spacing w:line="400" w:lineRule="exact"/>
        <w:ind w:firstLine="800" w:firstLineChars="250"/>
        <w:rPr>
          <w:rFonts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2、关于2025年收入总表的说明</w:t>
      </w:r>
    </w:p>
    <w:p>
      <w:pPr>
        <w:pStyle w:val="7"/>
        <w:adjustRightInd w:val="0"/>
        <w:snapToGrid w:val="0"/>
        <w:spacing w:line="400" w:lineRule="exact"/>
        <w:ind w:firstLine="800" w:firstLineChars="250"/>
        <w:rPr>
          <w:rFonts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3、关于2025年支出总表的说明</w:t>
      </w:r>
    </w:p>
    <w:p>
      <w:pPr>
        <w:pStyle w:val="7"/>
        <w:adjustRightInd w:val="0"/>
        <w:snapToGrid w:val="0"/>
        <w:spacing w:line="400" w:lineRule="exact"/>
        <w:ind w:firstLine="800" w:firstLineChars="250"/>
        <w:rPr>
          <w:rFonts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4、关于2025年财政拨款收支总表的说明</w:t>
      </w:r>
    </w:p>
    <w:p>
      <w:pPr>
        <w:pStyle w:val="7"/>
        <w:adjustRightInd w:val="0"/>
        <w:snapToGrid w:val="0"/>
        <w:spacing w:line="400" w:lineRule="exact"/>
        <w:ind w:firstLine="800" w:firstLineChars="250"/>
        <w:rPr>
          <w:rFonts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5、关于2025年一般公共预算支出表的说明</w:t>
      </w:r>
    </w:p>
    <w:p>
      <w:pPr>
        <w:pStyle w:val="7"/>
        <w:adjustRightInd w:val="0"/>
        <w:snapToGrid w:val="0"/>
        <w:spacing w:line="400" w:lineRule="exact"/>
        <w:ind w:firstLine="800" w:firstLineChars="250"/>
        <w:rPr>
          <w:rFonts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6、关于2025年一般公共预算基本支出表的说明</w:t>
      </w:r>
    </w:p>
    <w:p>
      <w:pPr>
        <w:pStyle w:val="7"/>
        <w:adjustRightInd w:val="0"/>
        <w:snapToGrid w:val="0"/>
        <w:spacing w:line="400" w:lineRule="exact"/>
        <w:ind w:firstLine="800" w:firstLineChars="250"/>
        <w:rPr>
          <w:rFonts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7、关于2025年政府性基金预算支出表的说明</w:t>
      </w:r>
    </w:p>
    <w:p>
      <w:pPr>
        <w:pStyle w:val="7"/>
        <w:adjustRightInd w:val="0"/>
        <w:snapToGrid w:val="0"/>
        <w:spacing w:line="400" w:lineRule="exact"/>
        <w:ind w:firstLine="800" w:firstLineChars="250"/>
        <w:rPr>
          <w:rFonts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8、关于2025年国有资本经营预算支出表的说明</w:t>
      </w:r>
    </w:p>
    <w:p>
      <w:pPr>
        <w:pStyle w:val="7"/>
        <w:adjustRightInd w:val="0"/>
        <w:snapToGrid w:val="0"/>
        <w:spacing w:line="400" w:lineRule="exact"/>
        <w:ind w:firstLine="800" w:firstLineChars="250"/>
        <w:rPr>
          <w:rFonts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9、关于2025年项目支出表的说明</w:t>
      </w:r>
    </w:p>
    <w:p>
      <w:pPr>
        <w:pStyle w:val="7"/>
        <w:adjustRightInd w:val="0"/>
        <w:snapToGrid w:val="0"/>
        <w:spacing w:line="400" w:lineRule="exact"/>
        <w:ind w:firstLine="800" w:firstLineChars="250"/>
        <w:rPr>
          <w:rFonts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10、关于2025年政府采购支出表的说明</w:t>
      </w:r>
    </w:p>
    <w:p>
      <w:pPr>
        <w:pStyle w:val="7"/>
        <w:adjustRightInd w:val="0"/>
        <w:snapToGrid w:val="0"/>
        <w:spacing w:line="400" w:lineRule="exact"/>
        <w:ind w:firstLine="800" w:firstLineChars="250"/>
        <w:rPr>
          <w:rFonts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11、关于2025年政府购买服务支出表的说明</w:t>
      </w:r>
    </w:p>
    <w:p>
      <w:pPr>
        <w:pStyle w:val="7"/>
        <w:adjustRightInd w:val="0"/>
        <w:snapToGrid w:val="0"/>
        <w:spacing w:line="400" w:lineRule="exact"/>
        <w:ind w:firstLine="800" w:firstLineChars="250"/>
        <w:rPr>
          <w:rFonts w:hint="eastAsia"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12、关于2025年通用资产配置支出表的说明</w:t>
      </w:r>
    </w:p>
    <w:p>
      <w:pPr>
        <w:pStyle w:val="7"/>
        <w:adjustRightInd w:val="0"/>
        <w:snapToGrid w:val="0"/>
        <w:spacing w:line="400" w:lineRule="exact"/>
        <w:ind w:firstLine="800" w:firstLineChars="250"/>
        <w:rPr>
          <w:rFonts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lang w:val="en-US" w:eastAsia="zh-CN"/>
        </w:rPr>
        <w:t>13、</w:t>
      </w:r>
      <w:r>
        <w:rPr>
          <w:rFonts w:hint="eastAsia" w:ascii="TimesNewRoman" w:hAnsi="TimesNewRoman" w:eastAsia="仿宋_GB2312" w:cs="TimesNewRoman"/>
          <w:bCs/>
          <w:sz w:val="32"/>
          <w:szCs w:val="32"/>
          <w:highlight w:val="none"/>
        </w:rPr>
        <w:t>其他重要事项情况说明</w:t>
      </w:r>
    </w:p>
    <w:p>
      <w:pPr>
        <w:pStyle w:val="7"/>
        <w:adjustRightInd w:val="0"/>
        <w:snapToGrid w:val="0"/>
        <w:spacing w:line="400" w:lineRule="exact"/>
        <w:ind w:firstLine="643" w:firstLineChars="200"/>
        <w:rPr>
          <w:rFonts w:ascii="TimesNewRoman" w:hAnsi="TimesNewRoman" w:eastAsia="仿宋_GB2312" w:cs="TimesNewRoman"/>
          <w:b/>
          <w:sz w:val="32"/>
          <w:szCs w:val="32"/>
          <w:highlight w:val="none"/>
        </w:rPr>
      </w:pPr>
      <w:r>
        <w:rPr>
          <w:rFonts w:hint="eastAsia" w:ascii="TimesNewRoman" w:hAnsi="TimesNewRoman" w:eastAsia="仿宋_GB2312" w:cs="TimesNewRoman"/>
          <w:b/>
          <w:sz w:val="32"/>
          <w:szCs w:val="32"/>
          <w:highlight w:val="none"/>
        </w:rPr>
        <w:t>第四部分 名词解释</w:t>
      </w:r>
    </w:p>
    <w:p>
      <w:pPr>
        <w:pStyle w:val="7"/>
        <w:adjustRightInd w:val="0"/>
        <w:snapToGrid w:val="0"/>
        <w:spacing w:line="400" w:lineRule="exact"/>
        <w:ind w:firstLine="643" w:firstLineChars="200"/>
        <w:rPr>
          <w:rFonts w:ascii="TimesNewRoman" w:hAnsi="TimesNewRoman" w:eastAsia="仿宋_GB2312" w:cs="TimesNewRoman"/>
          <w:b/>
          <w:sz w:val="32"/>
          <w:szCs w:val="32"/>
          <w:highlight w:val="none"/>
        </w:rPr>
      </w:pPr>
      <w:r>
        <w:rPr>
          <w:rFonts w:hint="eastAsia" w:ascii="TimesNewRoman" w:hAnsi="TimesNewRoman" w:eastAsia="仿宋_GB2312" w:cs="TimesNewRoman"/>
          <w:b/>
          <w:sz w:val="32"/>
          <w:szCs w:val="32"/>
          <w:highlight w:val="none"/>
        </w:rPr>
        <w:t>第五部分 其它公开事项</w:t>
      </w:r>
    </w:p>
    <w:p>
      <w:pPr>
        <w:pStyle w:val="7"/>
        <w:adjustRightInd w:val="0"/>
        <w:snapToGrid w:val="0"/>
        <w:spacing w:line="400" w:lineRule="exact"/>
        <w:ind w:firstLine="800" w:firstLineChars="250"/>
        <w:rPr>
          <w:rFonts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1、</w:t>
      </w:r>
      <w:r>
        <w:rPr>
          <w:rFonts w:hint="eastAsia" w:ascii="TimesNewRoman" w:hAnsi="TimesNewRoman" w:eastAsia="仿宋_GB2312" w:cs="TimesNewRoman"/>
          <w:bCs/>
          <w:sz w:val="32"/>
          <w:szCs w:val="32"/>
          <w:highlight w:val="none"/>
          <w:lang w:eastAsia="zh-CN"/>
        </w:rPr>
        <w:t>淮北市商务局</w:t>
      </w:r>
      <w:r>
        <w:rPr>
          <w:rFonts w:hint="eastAsia" w:ascii="TimesNewRoman" w:hAnsi="TimesNewRoman" w:eastAsia="仿宋_GB2312" w:cs="TimesNewRoman"/>
          <w:bCs/>
          <w:sz w:val="32"/>
          <w:szCs w:val="32"/>
          <w:highlight w:val="none"/>
        </w:rPr>
        <w:t>2025年部门预算纳入绩效考评项目表</w:t>
      </w:r>
    </w:p>
    <w:p>
      <w:pPr>
        <w:pStyle w:val="7"/>
        <w:adjustRightInd w:val="0"/>
        <w:snapToGrid w:val="0"/>
        <w:spacing w:line="400" w:lineRule="exact"/>
        <w:ind w:firstLine="800" w:firstLineChars="250"/>
        <w:rPr>
          <w:rFonts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2、</w:t>
      </w:r>
      <w:r>
        <w:rPr>
          <w:rFonts w:hint="eastAsia" w:ascii="TimesNewRoman" w:hAnsi="TimesNewRoman" w:eastAsia="仿宋_GB2312" w:cs="TimesNewRoman"/>
          <w:bCs/>
          <w:sz w:val="32"/>
          <w:szCs w:val="32"/>
          <w:highlight w:val="none"/>
          <w:lang w:eastAsia="zh-CN"/>
        </w:rPr>
        <w:t>淮北市商务局</w:t>
      </w:r>
      <w:r>
        <w:rPr>
          <w:rFonts w:hint="eastAsia" w:ascii="TimesNewRoman" w:hAnsi="TimesNewRoman" w:eastAsia="仿宋_GB2312" w:cs="TimesNewRoman"/>
          <w:bCs/>
          <w:sz w:val="32"/>
          <w:szCs w:val="32"/>
          <w:highlight w:val="none"/>
        </w:rPr>
        <w:t>2025年部门预算专项资金管理清单（专栏公开）</w:t>
      </w:r>
    </w:p>
    <w:p>
      <w:pPr>
        <w:pStyle w:val="7"/>
        <w:adjustRightInd w:val="0"/>
        <w:snapToGrid w:val="0"/>
        <w:spacing w:line="400" w:lineRule="exact"/>
        <w:ind w:firstLine="800" w:firstLineChars="250"/>
        <w:rPr>
          <w:rFonts w:ascii="TimesNewRoman" w:hAnsi="TimesNewRoman" w:eastAsia="仿宋_GB2312" w:cs="TimesNewRoman"/>
          <w:bCs/>
          <w:sz w:val="32"/>
          <w:szCs w:val="32"/>
          <w:highlight w:val="none"/>
        </w:rPr>
      </w:pPr>
    </w:p>
    <w:p>
      <w:pPr>
        <w:pStyle w:val="7"/>
        <w:adjustRightInd w:val="0"/>
        <w:snapToGrid w:val="0"/>
        <w:spacing w:line="560" w:lineRule="exact"/>
        <w:jc w:val="center"/>
        <w:rPr>
          <w:rFonts w:ascii="TimesNewRoman" w:hAnsi="TimesNewRoman" w:eastAsia="黑体" w:cs="TimesNewRoman"/>
          <w:bCs/>
          <w:sz w:val="36"/>
          <w:szCs w:val="36"/>
          <w:highlight w:val="none"/>
        </w:rPr>
      </w:pPr>
      <w:r>
        <w:rPr>
          <w:rFonts w:hint="eastAsia" w:ascii="TimesNewRoman" w:hAnsi="TimesNewRoman" w:eastAsia="黑体" w:cs="TimesNewRoman"/>
          <w:bCs/>
          <w:sz w:val="36"/>
          <w:szCs w:val="36"/>
          <w:highlight w:val="none"/>
        </w:rPr>
        <w:t>第一部分 部门概况</w:t>
      </w:r>
    </w:p>
    <w:p>
      <w:pPr>
        <w:rPr>
          <w:highlight w:val="none"/>
        </w:rPr>
      </w:pPr>
    </w:p>
    <w:p>
      <w:pPr>
        <w:pStyle w:val="7"/>
        <w:adjustRightInd w:val="0"/>
        <w:snapToGrid w:val="0"/>
        <w:spacing w:line="560" w:lineRule="exact"/>
        <w:ind w:firstLine="627" w:firstLineChars="196"/>
        <w:rPr>
          <w:rFonts w:ascii="TimesNewRoman" w:hAnsi="TimesNewRoman" w:eastAsia="黑体" w:cs="TimesNewRoman"/>
          <w:bCs/>
          <w:sz w:val="32"/>
          <w:szCs w:val="32"/>
          <w:highlight w:val="none"/>
        </w:rPr>
      </w:pPr>
      <w:r>
        <w:rPr>
          <w:rFonts w:hint="eastAsia" w:ascii="TimesNewRoman" w:hAnsi="TimesNewRoman" w:eastAsia="黑体" w:cs="TimesNewRoman"/>
          <w:bCs/>
          <w:sz w:val="32"/>
          <w:szCs w:val="32"/>
          <w:highlight w:val="none"/>
        </w:rPr>
        <w:t>一、主要职责</w:t>
      </w:r>
    </w:p>
    <w:p>
      <w:pPr>
        <w:pStyle w:val="7"/>
        <w:adjustRightInd w:val="0"/>
        <w:snapToGrid w:val="0"/>
        <w:spacing w:line="560" w:lineRule="exact"/>
        <w:ind w:firstLine="627" w:firstLineChars="196"/>
        <w:rPr>
          <w:rFonts w:hint="eastAsia"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一）贯彻执行国家有关国内外贸易、外商投资、对外援助、对外投资和对外经济合作工作方针政策和法律法规，拟订全市国内外贸易、国际经济合作发展规划；研究经济全球化、区域经济合作、现代流通方式的发展趋势并提出相关政策建议。</w:t>
      </w:r>
    </w:p>
    <w:p>
      <w:pPr>
        <w:pStyle w:val="7"/>
        <w:adjustRightInd w:val="0"/>
        <w:snapToGrid w:val="0"/>
        <w:spacing w:line="560" w:lineRule="exact"/>
        <w:ind w:firstLine="627" w:firstLineChars="196"/>
        <w:rPr>
          <w:rFonts w:hint="eastAsia"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二）负责推进流通产业结构调整，指导流通企业改革、商贸服务业和社区商业发展，提出促进商贸中小企业发展的政策建议；推动流通标准化和连锁经营、商业特许经营、物流配送、电子商务等现代流通方式的发展。</w:t>
      </w:r>
    </w:p>
    <w:p>
      <w:pPr>
        <w:pStyle w:val="7"/>
        <w:adjustRightInd w:val="0"/>
        <w:snapToGrid w:val="0"/>
        <w:spacing w:line="560" w:lineRule="exact"/>
        <w:ind w:firstLine="627" w:firstLineChars="196"/>
        <w:rPr>
          <w:rFonts w:hint="eastAsia"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（三）提出引导国内外资金投向市场体系建设的政策措施；指导大宗产品批发市场规划、各类商贸市场和城市商业网点规划、商业体系建设工作；推进农村市场体系建设，组织实施农村现代流通网络工程。</w:t>
      </w:r>
    </w:p>
    <w:p>
      <w:pPr>
        <w:pStyle w:val="7"/>
        <w:adjustRightInd w:val="0"/>
        <w:snapToGrid w:val="0"/>
        <w:spacing w:line="560" w:lineRule="exact"/>
        <w:ind w:firstLine="627" w:firstLineChars="196"/>
        <w:rPr>
          <w:rFonts w:hint="eastAsia"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四）承担牵头协调整顿和规范市场经济秩序工作的责任。推动商务领域信用建设，指导商业信用销售，建立市场诚信公共服务平台，主管市12312商务举报投诉服务工作，承担全市商务流通领域市场监管公共服务体系建设工作；按有关规定对特殊流通行业进行监督管理。</w:t>
      </w:r>
    </w:p>
    <w:p>
      <w:pPr>
        <w:pStyle w:val="7"/>
        <w:adjustRightInd w:val="0"/>
        <w:snapToGrid w:val="0"/>
        <w:spacing w:line="560" w:lineRule="exact"/>
        <w:ind w:firstLine="627" w:firstLineChars="196"/>
        <w:rPr>
          <w:rFonts w:hint="eastAsia"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五）承担组织实施重要消费品市场调控和重要生产资料流通管理的责任。负责建立健全生活必需品市场供应应急管理机制，监测分析市场运行、商品供求状况，调查分析商品价格信息，进行预测预警和信息引导；按分工负责重要消费品储备管理和市场调控工作，按有关规定对成品油流通进行监督管理。</w:t>
      </w:r>
    </w:p>
    <w:p>
      <w:pPr>
        <w:pStyle w:val="7"/>
        <w:adjustRightInd w:val="0"/>
        <w:snapToGrid w:val="0"/>
        <w:spacing w:line="560" w:lineRule="exact"/>
        <w:ind w:firstLine="627" w:firstLineChars="196"/>
        <w:rPr>
          <w:rFonts w:hint="eastAsia"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六）分析国际经贸形势和我市进出口状况，拟订促进外贸增长方式转变的政策措施；组织实施重要工业品、原材料和重要农产品进出口总量计划，会同有关部门协调大宗进出口商品；指导机电产品进出口工作；组织管理进出口商品配额、关税配额；指导和协调加工贸易工作。</w:t>
      </w:r>
    </w:p>
    <w:p>
      <w:pPr>
        <w:pStyle w:val="7"/>
        <w:adjustRightInd w:val="0"/>
        <w:snapToGrid w:val="0"/>
        <w:spacing w:line="560" w:lineRule="exact"/>
        <w:ind w:firstLine="627" w:firstLineChars="196"/>
        <w:rPr>
          <w:rFonts w:hint="eastAsia"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（七）指导贸易促进活动和外贸促进体系建设；负责境外非企业经济组织常驻我市代表机构的有关管理工作；组织实施区域经贸合作，处理多边经贸领域的有关问题。</w:t>
      </w:r>
    </w:p>
    <w:p>
      <w:pPr>
        <w:pStyle w:val="7"/>
        <w:adjustRightInd w:val="0"/>
        <w:snapToGrid w:val="0"/>
        <w:spacing w:line="560" w:lineRule="exact"/>
        <w:ind w:firstLine="627" w:firstLineChars="196"/>
        <w:rPr>
          <w:rFonts w:hint="eastAsia"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（八）推进进出口贸易标准化建设工作；依法监督技术引进、设备进口、国家限制出口技术的工作，依法办理涉及国家安全的进出口许可事务。</w:t>
      </w:r>
    </w:p>
    <w:p>
      <w:pPr>
        <w:pStyle w:val="7"/>
        <w:adjustRightInd w:val="0"/>
        <w:snapToGrid w:val="0"/>
        <w:spacing w:line="560" w:lineRule="exact"/>
        <w:ind w:firstLine="627" w:firstLineChars="196"/>
        <w:rPr>
          <w:rFonts w:hint="eastAsia"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（九）牵头拟订服务贸易发展规划并开展相关工作，会同有关部门制定促进服务出口和服务外包发展的规划、政策并组织实施，推动服务外包平台建设。</w:t>
      </w:r>
    </w:p>
    <w:p>
      <w:pPr>
        <w:pStyle w:val="7"/>
        <w:adjustRightInd w:val="0"/>
        <w:snapToGrid w:val="0"/>
        <w:spacing w:line="560" w:lineRule="exact"/>
        <w:ind w:firstLine="627" w:firstLineChars="196"/>
        <w:rPr>
          <w:rFonts w:hint="eastAsia"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十）组织协调反倾销、反补贴、保障措施及其他与进出口公平贸易相关工作；建立进出口公平贸易预警机制，依法实施对外贸易调查和产业损害调查，指导协调产业安全应对及国外对我市出口商品的反倾销、反补贴、保障措施的应诉及相关工作；依法对经营者集中行为进行反垄断调查，指导企业在国外的反垄断应诉工作，开展多双边竞争政策交流与合作。</w:t>
      </w:r>
    </w:p>
    <w:p>
      <w:pPr>
        <w:pStyle w:val="7"/>
        <w:adjustRightInd w:val="0"/>
        <w:snapToGrid w:val="0"/>
        <w:spacing w:line="560" w:lineRule="exact"/>
        <w:ind w:firstLine="627" w:firstLineChars="196"/>
        <w:rPr>
          <w:rFonts w:hint="eastAsia"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十一）宏观指导外商投资工作；分析研究外商投资情况，拟订外商投资政策措施并组织实施；指导和管理外商投资促进及外商投资企业的报批备案和进出口工作；依法核准权限范围内的外商投资项目的合同、章程及法律特别规定的重大变更事项；审理转报限额以上、限制投资和涉及配额、许可证管理的外商投资企业设立及其变更事项；监督外商投资企业执行有关法律、法规及合同、章程工作；综合协调和指导全市经济技术开发区的有关工作。</w:t>
      </w:r>
    </w:p>
    <w:p>
      <w:pPr>
        <w:pStyle w:val="7"/>
        <w:adjustRightInd w:val="0"/>
        <w:snapToGrid w:val="0"/>
        <w:spacing w:line="560" w:lineRule="exact"/>
        <w:ind w:firstLine="627" w:firstLineChars="196"/>
        <w:rPr>
          <w:rFonts w:hint="eastAsia"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十二）负责对外经济合作工作；依法管理和监督对外承包工程、对外劳务合作等；拟定本市人员出境就业管理的有关政策，负责牵头外派劳务和境外就业人员的权益保护工作；依法审核、申报市内企业在境外投资开办企业（金融企业除外）并实施监督管理。</w:t>
      </w:r>
    </w:p>
    <w:p>
      <w:pPr>
        <w:pStyle w:val="7"/>
        <w:adjustRightInd w:val="0"/>
        <w:snapToGrid w:val="0"/>
        <w:spacing w:line="560" w:lineRule="exact"/>
        <w:ind w:firstLine="627" w:firstLineChars="196"/>
        <w:rPr>
          <w:rFonts w:hint="eastAsia"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（十三）负责办理外商来访、商贸洽谈有关外事初审、申报工作；指导商贸领域内信息网络、电子商务、电子政务建设；指导有关协会工作。</w:t>
      </w:r>
    </w:p>
    <w:p>
      <w:pPr>
        <w:pStyle w:val="7"/>
        <w:adjustRightInd w:val="0"/>
        <w:snapToGrid w:val="0"/>
        <w:spacing w:line="560" w:lineRule="exact"/>
        <w:ind w:firstLine="627" w:firstLineChars="196"/>
        <w:rPr>
          <w:rFonts w:hint="eastAsia"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（十四）负责研究拟定全市会展业发展规划、产业政策并组织实施；协调指导我市对外参加各种展会等。</w:t>
      </w:r>
    </w:p>
    <w:p>
      <w:pPr>
        <w:pStyle w:val="7"/>
        <w:adjustRightInd w:val="0"/>
        <w:snapToGrid w:val="0"/>
        <w:spacing w:line="560" w:lineRule="exact"/>
        <w:ind w:firstLine="627" w:firstLineChars="196"/>
        <w:rPr>
          <w:rFonts w:ascii="TimesNewRoman" w:hAnsi="TimesNewRoman" w:eastAsia="黑体" w:cs="TimesNewRoman"/>
          <w:bCs/>
          <w:sz w:val="32"/>
          <w:szCs w:val="32"/>
          <w:highlight w:val="none"/>
        </w:rPr>
      </w:pPr>
      <w:r>
        <w:rPr>
          <w:rFonts w:hint="eastAsia" w:ascii="TimesNewRoman" w:hAnsi="TimesNewRoman" w:eastAsia="黑体" w:cs="TimesNewRoman"/>
          <w:bCs/>
          <w:sz w:val="32"/>
          <w:szCs w:val="32"/>
          <w:highlight w:val="none"/>
        </w:rPr>
        <w:t>二、部门预算构成</w:t>
      </w:r>
    </w:p>
    <w:p>
      <w:pPr>
        <w:pStyle w:val="7"/>
        <w:adjustRightInd w:val="0"/>
        <w:snapToGrid w:val="0"/>
        <w:spacing w:line="560" w:lineRule="exact"/>
        <w:ind w:firstLine="627" w:firstLineChars="196"/>
        <w:rPr>
          <w:rFonts w:ascii="TimesNewRoman" w:hAnsi="TimesNewRoman" w:eastAsia="仿宋_GB2312" w:cs="TimesNewRoman"/>
          <w:sz w:val="32"/>
          <w:szCs w:val="32"/>
          <w:highlight w:val="none"/>
        </w:rPr>
      </w:pPr>
      <w:r>
        <w:rPr>
          <w:rFonts w:hint="eastAsia" w:ascii="TimesNewRoman" w:hAnsi="TimesNewRoman" w:eastAsia="仿宋_GB2312" w:cs="TimesNewRoman"/>
          <w:sz w:val="32"/>
          <w:szCs w:val="32"/>
          <w:highlight w:val="none"/>
        </w:rPr>
        <w:t>从预算单位构成看，</w:t>
      </w:r>
      <w:r>
        <w:rPr>
          <w:rFonts w:hint="eastAsia" w:ascii="TimesNewRoman" w:hAnsi="TimesNewRoman" w:eastAsia="仿宋_GB2312" w:cs="TimesNewRoman"/>
          <w:bCs/>
          <w:sz w:val="32"/>
          <w:szCs w:val="32"/>
          <w:highlight w:val="none"/>
          <w:lang w:eastAsia="zh-CN"/>
        </w:rPr>
        <w:t>淮北市商务局</w:t>
      </w:r>
      <w:r>
        <w:rPr>
          <w:rFonts w:hint="eastAsia" w:ascii="TimesNewRoman" w:hAnsi="TimesNewRoman" w:eastAsia="仿宋_GB2312" w:cs="TimesNewRoman"/>
          <w:sz w:val="32"/>
          <w:szCs w:val="32"/>
          <w:highlight w:val="none"/>
        </w:rPr>
        <w:t>2025年度部门预算包括局（委）本级预算和局（委）下属单位预算，纳入部门预算编制范围的预算单位共</w:t>
      </w:r>
      <w:r>
        <w:rPr>
          <w:rFonts w:hint="eastAsia" w:ascii="TimesNewRoman" w:hAnsi="TimesNewRoman" w:eastAsia="仿宋_GB2312" w:cs="TimesNewRoman"/>
          <w:sz w:val="32"/>
          <w:szCs w:val="32"/>
          <w:highlight w:val="none"/>
          <w:lang w:val="en-US" w:eastAsia="zh-CN"/>
        </w:rPr>
        <w:t>2</w:t>
      </w:r>
      <w:r>
        <w:rPr>
          <w:rFonts w:hint="eastAsia" w:ascii="TimesNewRoman" w:hAnsi="TimesNewRoman" w:eastAsia="仿宋_GB2312" w:cs="TimesNewRoman"/>
          <w:sz w:val="32"/>
          <w:szCs w:val="32"/>
          <w:highlight w:val="none"/>
        </w:rPr>
        <w:t>个，具体情况见下表。</w:t>
      </w:r>
    </w:p>
    <w:tbl>
      <w:tblPr>
        <w:tblStyle w:val="8"/>
        <w:tblW w:w="8540" w:type="dxa"/>
        <w:jc w:val="center"/>
        <w:tblLayout w:type="fixed"/>
        <w:tblCellMar>
          <w:top w:w="0" w:type="dxa"/>
          <w:left w:w="0" w:type="dxa"/>
          <w:bottom w:w="0" w:type="dxa"/>
          <w:right w:w="0" w:type="dxa"/>
        </w:tblCellMar>
      </w:tblPr>
      <w:tblGrid>
        <w:gridCol w:w="854"/>
        <w:gridCol w:w="3416"/>
        <w:gridCol w:w="4270"/>
      </w:tblGrid>
      <w:tr>
        <w:tblPrEx>
          <w:tblCellMar>
            <w:top w:w="0" w:type="dxa"/>
            <w:left w:w="0" w:type="dxa"/>
            <w:bottom w:w="0" w:type="dxa"/>
            <w:right w:w="0" w:type="dxa"/>
          </w:tblCellMar>
        </w:tblPrEx>
        <w:trPr>
          <w:trHeight w:val="579" w:hRule="atLeast"/>
          <w:jc w:val="center"/>
        </w:trPr>
        <w:tc>
          <w:tcPr>
            <w:tcW w:w="85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60" w:lineRule="exact"/>
              <w:jc w:val="center"/>
              <w:rPr>
                <w:rFonts w:ascii="TimesNewRoman" w:hAnsi="TimesNewRoman" w:cs="TimesNewRoman"/>
                <w:sz w:val="24"/>
                <w:highlight w:val="none"/>
              </w:rPr>
            </w:pPr>
            <w:r>
              <w:rPr>
                <w:rFonts w:ascii="TimesNewRoman" w:hAnsi="TimesNewRoman" w:cs="TimesNewRoman"/>
                <w:sz w:val="24"/>
                <w:highlight w:val="none"/>
              </w:rPr>
              <w:t>序号</w:t>
            </w:r>
          </w:p>
        </w:tc>
        <w:tc>
          <w:tcPr>
            <w:tcW w:w="341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60" w:lineRule="exact"/>
              <w:jc w:val="center"/>
              <w:rPr>
                <w:rFonts w:ascii="TimesNewRoman" w:hAnsi="TimesNewRoman" w:cs="TimesNewRoman"/>
                <w:sz w:val="24"/>
                <w:highlight w:val="none"/>
              </w:rPr>
            </w:pPr>
            <w:r>
              <w:rPr>
                <w:rFonts w:ascii="TimesNewRoman" w:hAnsi="TimesNewRoman" w:cs="TimesNewRoman"/>
                <w:sz w:val="24"/>
                <w:highlight w:val="none"/>
              </w:rPr>
              <w:t>单位名称</w:t>
            </w:r>
          </w:p>
        </w:tc>
        <w:tc>
          <w:tcPr>
            <w:tcW w:w="4270" w:type="dxa"/>
            <w:tcBorders>
              <w:top w:val="single" w:color="auto" w:sz="8" w:space="0"/>
              <w:left w:val="nil"/>
              <w:bottom w:val="single" w:color="auto" w:sz="8" w:space="0"/>
              <w:right w:val="single" w:color="auto" w:sz="8" w:space="0"/>
            </w:tcBorders>
            <w:shd w:val="clear" w:color="auto" w:fill="FFFFFF"/>
            <w:vAlign w:val="center"/>
          </w:tcPr>
          <w:p>
            <w:pPr>
              <w:adjustRightInd w:val="0"/>
              <w:snapToGrid w:val="0"/>
              <w:spacing w:line="560" w:lineRule="exact"/>
              <w:jc w:val="center"/>
              <w:rPr>
                <w:rFonts w:ascii="TimesNewRoman" w:hAnsi="TimesNewRoman" w:cs="TimesNewRoman"/>
                <w:sz w:val="24"/>
                <w:highlight w:val="none"/>
              </w:rPr>
            </w:pPr>
            <w:r>
              <w:rPr>
                <w:rFonts w:ascii="TimesNewRoman" w:hAnsi="TimesNewRoman" w:cs="TimesNewRoman"/>
                <w:sz w:val="24"/>
                <w:highlight w:val="none"/>
              </w:rPr>
              <w:t>单位性质</w:t>
            </w:r>
          </w:p>
        </w:tc>
      </w:tr>
      <w:tr>
        <w:tblPrEx>
          <w:tblCellMar>
            <w:top w:w="0" w:type="dxa"/>
            <w:left w:w="0" w:type="dxa"/>
            <w:bottom w:w="0" w:type="dxa"/>
            <w:right w:w="0" w:type="dxa"/>
          </w:tblCellMar>
        </w:tblPrEx>
        <w:trPr>
          <w:trHeight w:val="579" w:hRule="atLeast"/>
          <w:jc w:val="center"/>
        </w:trPr>
        <w:tc>
          <w:tcPr>
            <w:tcW w:w="85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60" w:lineRule="exact"/>
              <w:jc w:val="center"/>
              <w:rPr>
                <w:rFonts w:ascii="TimesNewRoman" w:hAnsi="TimesNewRoman" w:cs="TimesNewRoman"/>
                <w:sz w:val="24"/>
                <w:highlight w:val="none"/>
              </w:rPr>
            </w:pPr>
            <w:r>
              <w:rPr>
                <w:rFonts w:ascii="TimesNewRoman" w:hAnsi="TimesNewRoman" w:cs="TimesNewRoman"/>
                <w:sz w:val="24"/>
                <w:highlight w:val="none"/>
              </w:rPr>
              <w:t>1</w:t>
            </w:r>
          </w:p>
        </w:tc>
        <w:tc>
          <w:tcPr>
            <w:tcW w:w="34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60" w:lineRule="exact"/>
              <w:jc w:val="center"/>
              <w:rPr>
                <w:rFonts w:ascii="TimesNewRoman" w:hAnsi="TimesNewRoman" w:cs="TimesNewRoman"/>
                <w:sz w:val="24"/>
                <w:highlight w:val="none"/>
                <w:u w:val="single"/>
              </w:rPr>
            </w:pPr>
            <w:r>
              <w:rPr>
                <w:rFonts w:hint="eastAsia" w:ascii="TimesNewRoman" w:hAnsi="TimesNewRoman" w:cs="TimesNewRoman"/>
                <w:bCs/>
                <w:sz w:val="24"/>
                <w:highlight w:val="none"/>
              </w:rPr>
              <w:t>淮北市</w:t>
            </w:r>
            <w:r>
              <w:rPr>
                <w:rFonts w:hint="eastAsia" w:ascii="TimesNewRoman" w:hAnsi="TimesNewRoman" w:cs="TimesNewRoman"/>
                <w:bCs/>
                <w:sz w:val="24"/>
                <w:highlight w:val="none"/>
                <w:lang w:eastAsia="zh-CN"/>
              </w:rPr>
              <w:t>商务</w:t>
            </w:r>
            <w:r>
              <w:rPr>
                <w:rFonts w:hint="eastAsia" w:ascii="TimesNewRoman" w:hAnsi="TimesNewRoman" w:cs="TimesNewRoman"/>
                <w:bCs/>
                <w:sz w:val="24"/>
                <w:highlight w:val="none"/>
              </w:rPr>
              <w:t>局本级</w:t>
            </w:r>
          </w:p>
        </w:tc>
        <w:tc>
          <w:tcPr>
            <w:tcW w:w="4270" w:type="dxa"/>
            <w:tcBorders>
              <w:top w:val="nil"/>
              <w:left w:val="nil"/>
              <w:bottom w:val="single" w:color="auto" w:sz="8" w:space="0"/>
              <w:right w:val="single" w:color="auto" w:sz="8" w:space="0"/>
            </w:tcBorders>
            <w:shd w:val="clear" w:color="auto" w:fill="FFFFFF"/>
            <w:vAlign w:val="top"/>
          </w:tcPr>
          <w:p>
            <w:pPr>
              <w:adjustRightInd w:val="0"/>
              <w:snapToGrid w:val="0"/>
              <w:spacing w:line="560" w:lineRule="exact"/>
              <w:jc w:val="center"/>
              <w:rPr>
                <w:rFonts w:ascii="TimesNewRoman" w:hAnsi="TimesNewRoman" w:cs="TimesNewRoman"/>
                <w:sz w:val="24"/>
                <w:highlight w:val="none"/>
                <w:u w:val="single"/>
              </w:rPr>
            </w:pPr>
            <w:r>
              <w:rPr>
                <w:rFonts w:hint="eastAsia" w:ascii="TimesNewRoman" w:hAnsi="TimesNewRoman" w:cs="TimesNewRoman"/>
                <w:bCs/>
                <w:sz w:val="24"/>
                <w:highlight w:val="none"/>
              </w:rPr>
              <w:t>行政单位</w:t>
            </w:r>
          </w:p>
        </w:tc>
      </w:tr>
      <w:tr>
        <w:tblPrEx>
          <w:tblCellMar>
            <w:top w:w="0" w:type="dxa"/>
            <w:left w:w="0" w:type="dxa"/>
            <w:bottom w:w="0" w:type="dxa"/>
            <w:right w:w="0" w:type="dxa"/>
          </w:tblCellMar>
        </w:tblPrEx>
        <w:trPr>
          <w:trHeight w:val="579" w:hRule="atLeast"/>
          <w:jc w:val="center"/>
        </w:trPr>
        <w:tc>
          <w:tcPr>
            <w:tcW w:w="85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60" w:lineRule="exact"/>
              <w:jc w:val="center"/>
              <w:rPr>
                <w:rFonts w:ascii="TimesNewRoman" w:hAnsi="TimesNewRoman" w:cs="TimesNewRoman"/>
                <w:sz w:val="24"/>
                <w:highlight w:val="none"/>
              </w:rPr>
            </w:pPr>
            <w:r>
              <w:rPr>
                <w:rFonts w:ascii="TimesNewRoman" w:hAnsi="TimesNewRoman" w:cs="TimesNewRoman"/>
                <w:sz w:val="24"/>
                <w:highlight w:val="none"/>
              </w:rPr>
              <w:t>2</w:t>
            </w:r>
          </w:p>
        </w:tc>
        <w:tc>
          <w:tcPr>
            <w:tcW w:w="34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60" w:lineRule="exact"/>
              <w:jc w:val="center"/>
              <w:rPr>
                <w:rFonts w:ascii="TimesNewRoman" w:hAnsi="TimesNewRoman" w:cs="TimesNewRoman"/>
                <w:sz w:val="24"/>
                <w:highlight w:val="none"/>
                <w:u w:val="single"/>
              </w:rPr>
            </w:pPr>
            <w:r>
              <w:rPr>
                <w:rFonts w:hint="eastAsia" w:ascii="TimesNewRoman" w:hAnsi="TimesNewRoman" w:cs="TimesNewRoman"/>
                <w:bCs/>
                <w:sz w:val="24"/>
                <w:highlight w:val="none"/>
              </w:rPr>
              <w:t>淮北市商贸发展服务中心</w:t>
            </w:r>
          </w:p>
        </w:tc>
        <w:tc>
          <w:tcPr>
            <w:tcW w:w="4270" w:type="dxa"/>
            <w:tcBorders>
              <w:top w:val="nil"/>
              <w:left w:val="nil"/>
              <w:bottom w:val="single" w:color="auto" w:sz="8" w:space="0"/>
              <w:right w:val="single" w:color="auto" w:sz="8" w:space="0"/>
            </w:tcBorders>
            <w:shd w:val="clear" w:color="auto" w:fill="FFFFFF"/>
            <w:vAlign w:val="top"/>
          </w:tcPr>
          <w:p>
            <w:pPr>
              <w:adjustRightInd w:val="0"/>
              <w:snapToGrid w:val="0"/>
              <w:spacing w:line="560" w:lineRule="exact"/>
              <w:jc w:val="center"/>
              <w:rPr>
                <w:rFonts w:ascii="TimesNewRoman" w:hAnsi="TimesNewRoman" w:cs="TimesNewRoman"/>
                <w:sz w:val="24"/>
                <w:highlight w:val="none"/>
                <w:u w:val="single"/>
              </w:rPr>
            </w:pPr>
            <w:r>
              <w:rPr>
                <w:rFonts w:hint="eastAsia" w:ascii="TimesNewRoman" w:hAnsi="TimesNewRoman" w:cs="TimesNewRoman"/>
                <w:bCs/>
                <w:sz w:val="24"/>
                <w:highlight w:val="none"/>
              </w:rPr>
              <w:t>公益一类事业单位</w:t>
            </w:r>
          </w:p>
        </w:tc>
      </w:tr>
    </w:tbl>
    <w:p>
      <w:pPr>
        <w:pStyle w:val="7"/>
        <w:adjustRightInd w:val="0"/>
        <w:snapToGrid w:val="0"/>
        <w:spacing w:line="560" w:lineRule="exact"/>
        <w:ind w:firstLine="627" w:firstLineChars="196"/>
        <w:rPr>
          <w:rFonts w:ascii="TimesNewRoman" w:hAnsi="TimesNewRoman" w:eastAsia="黑体" w:cs="TimesNewRoman"/>
          <w:bCs/>
          <w:sz w:val="32"/>
          <w:szCs w:val="32"/>
          <w:highlight w:val="none"/>
        </w:rPr>
      </w:pPr>
      <w:r>
        <w:rPr>
          <w:rFonts w:hint="eastAsia" w:ascii="TimesNewRoman" w:hAnsi="TimesNewRoman" w:eastAsia="黑体" w:cs="TimesNewRoman"/>
          <w:bCs/>
          <w:sz w:val="32"/>
          <w:szCs w:val="32"/>
          <w:highlight w:val="none"/>
        </w:rPr>
        <w:t>三、2025年度主要工作任务</w:t>
      </w:r>
    </w:p>
    <w:p>
      <w:pPr>
        <w:pStyle w:val="7"/>
        <w:adjustRightInd w:val="0"/>
        <w:snapToGrid w:val="0"/>
        <w:spacing w:line="560" w:lineRule="exact"/>
        <w:ind w:firstLine="627" w:firstLineChars="196"/>
        <w:rPr>
          <w:rFonts w:hint="eastAsia"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（一）以更大力度扩内需、挖潜力。</w:t>
      </w:r>
    </w:p>
    <w:p>
      <w:pPr>
        <w:pStyle w:val="7"/>
        <w:adjustRightInd w:val="0"/>
        <w:snapToGrid w:val="0"/>
        <w:spacing w:line="560" w:lineRule="exact"/>
        <w:ind w:firstLine="627" w:firstLineChars="196"/>
        <w:rPr>
          <w:rFonts w:hint="eastAsia"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一是加大限上商贸主体培育。按照“限上企业抓增长、达限企业抓入库、近限企业抓培育”的工作思路，对县区重点批零住餐企业开展全面摸排，重点关注新能源汽车、加油站、电商直播企业等，切实做好月度新增新开业企业、年度企业纳统工作。二是开展促消费活动。督促指导县区重点抓好汽车、家电等群众参与度高、带动效果好、杠杆作用大的消费券发放活动。组织开展“双十一”电商节、乡村振兴市集等活动，集聚消费人气，激发消费潜力。三是贯彻落实国家以旧换新政策。加大消费品以旧换新补贴政策的宣传力度，加快平台审核进度，确保消费者能享尽享。四是培育壮大消费新场景。深化与知名电商平台合作，助推淮北特色产业和电商产业进一步融合发展；打造品质夜市和夜间消费集聚区，促进“夜宵”“夜购”“夜赏”融合发展。拓展沉浸式、体验式、互动式消费新场景，以创新激发消费内生动力。</w:t>
      </w:r>
    </w:p>
    <w:p>
      <w:pPr>
        <w:pStyle w:val="7"/>
        <w:adjustRightInd w:val="0"/>
        <w:snapToGrid w:val="0"/>
        <w:spacing w:line="560" w:lineRule="exact"/>
        <w:ind w:firstLine="627" w:firstLineChars="196"/>
        <w:rPr>
          <w:rFonts w:hint="eastAsia"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（二）以更大力度稳外贸、强动能。</w:t>
      </w:r>
    </w:p>
    <w:p>
      <w:pPr>
        <w:pStyle w:val="7"/>
        <w:adjustRightInd w:val="0"/>
        <w:snapToGrid w:val="0"/>
        <w:spacing w:line="560" w:lineRule="exact"/>
        <w:ind w:firstLine="627" w:firstLineChars="196"/>
        <w:rPr>
          <w:rFonts w:hint="eastAsia"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一是强化企业孵化培育。积极培育外贸发展新动能，重点做好国晟新能源、希科服饰等10家新增企业孵化培育工作，力争全年新增培育进出口实绩企业15家以上。二是挖掘优势企业潜力。支持瑞柏新材料等优势发展企业做大做强，扩大优势产品（化工产品）出口规模，力争新增培育进出口过亿美元企业1家以上。三是提升国际市场竞争实力。加大英科医疗等重点企业政策支持，鼓励企业开展境外商标注册、专利申请、产品认证，强化品牌建设，提升企业市场竞争实力。四是加快新业态新模式发展。依托相山区跨境电商产业园，搭建交流对接平台，加大跨境电商企业招引，孵化培育跨境电商人才，力争2025年完成省级跨境电商产业园申报认定。</w:t>
      </w:r>
    </w:p>
    <w:p>
      <w:pPr>
        <w:pStyle w:val="7"/>
        <w:adjustRightInd w:val="0"/>
        <w:snapToGrid w:val="0"/>
        <w:spacing w:line="560" w:lineRule="exact"/>
        <w:ind w:firstLine="627" w:firstLineChars="196"/>
        <w:rPr>
          <w:rFonts w:hint="eastAsia"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（三）以更大力度引外资、扩规模。</w:t>
      </w:r>
    </w:p>
    <w:p>
      <w:pPr>
        <w:pStyle w:val="7"/>
        <w:adjustRightInd w:val="0"/>
        <w:snapToGrid w:val="0"/>
        <w:spacing w:line="560" w:lineRule="exact"/>
        <w:ind w:firstLine="627" w:firstLineChars="196"/>
        <w:rPr>
          <w:rFonts w:hint="eastAsia"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一是优化营商环境。发挥外资企业服务专班和外商投诉处理联系机制作用，常态化开展外资企业上门服务。二是拓宽外资外经新渠道。用好海客圆桌会、“徽动全球”合作伙伴计划等平台，深化与外商投资企业、外国商会协会、国际组织的常态化交流，做到“请进来”、“走出去”相结合。三是强化考核调度。针对 县区、园区载体单位年度招引外资目标任务，加强日常调度，传导工作压力，形成工作合力。</w:t>
      </w:r>
    </w:p>
    <w:p>
      <w:pPr>
        <w:pStyle w:val="7"/>
        <w:adjustRightInd w:val="0"/>
        <w:snapToGrid w:val="0"/>
        <w:spacing w:line="560" w:lineRule="exact"/>
        <w:ind w:firstLine="627" w:firstLineChars="196"/>
        <w:rPr>
          <w:rFonts w:hint="eastAsia"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（四）以更大力度谋改革，促发展。</w:t>
      </w:r>
    </w:p>
    <w:p>
      <w:pPr>
        <w:pStyle w:val="7"/>
        <w:adjustRightInd w:val="0"/>
        <w:snapToGrid w:val="0"/>
        <w:spacing w:line="560" w:lineRule="exact"/>
        <w:ind w:firstLine="627" w:firstLineChars="196"/>
        <w:rPr>
          <w:rFonts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一是完善服务业扶持政策体系。聚焦重点商贸服务业高质量发展，加快推进先进制造业与现代服务业融合发展，积极发展汽车后市场，推动发展农村直播电商。布局重点商圈、特色街区和夜间经济，积极打造消费新场景。深化主城区菜市场管理体制改革。二是实施联动创新区提升行动。发挥联动创新区“试验田”作用，探索与沪苏浙自贸试验区及联动创新区合作新机制，健全区域联动、政策联动、创新联动、产业联动机制。三是健全外贸外资发展政策体系。健全完善跨境电商扶持政策，高质量建设跨境电商产业园，推进发运中亚、中欧班列。</w:t>
      </w:r>
    </w:p>
    <w:p>
      <w:pPr>
        <w:rPr>
          <w:highlight w:val="none"/>
        </w:rPr>
      </w:pPr>
    </w:p>
    <w:p>
      <w:pPr>
        <w:pStyle w:val="7"/>
        <w:adjustRightInd w:val="0"/>
        <w:snapToGrid w:val="0"/>
        <w:spacing w:line="560" w:lineRule="exact"/>
        <w:jc w:val="center"/>
        <w:rPr>
          <w:rFonts w:ascii="TimesNewRoman" w:hAnsi="TimesNewRoman" w:eastAsia="黑体" w:cs="TimesNewRoman"/>
          <w:bCs/>
          <w:sz w:val="36"/>
          <w:szCs w:val="36"/>
          <w:highlight w:val="none"/>
        </w:rPr>
      </w:pPr>
      <w:r>
        <w:rPr>
          <w:rFonts w:hint="eastAsia" w:ascii="TimesNewRoman" w:hAnsi="TimesNewRoman" w:eastAsia="黑体" w:cs="TimesNewRoman"/>
          <w:bCs/>
          <w:sz w:val="36"/>
          <w:szCs w:val="36"/>
          <w:highlight w:val="none"/>
        </w:rPr>
        <w:t>第二部分 2025年部门预算表</w:t>
      </w:r>
    </w:p>
    <w:p>
      <w:pPr>
        <w:pStyle w:val="7"/>
        <w:adjustRightInd w:val="0"/>
        <w:snapToGrid w:val="0"/>
        <w:spacing w:line="560" w:lineRule="exact"/>
        <w:ind w:firstLine="627" w:firstLineChars="196"/>
        <w:jc w:val="center"/>
        <w:rPr>
          <w:rFonts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见附件1-2</w:t>
      </w:r>
    </w:p>
    <w:p>
      <w:pPr>
        <w:rPr>
          <w:highlight w:val="none"/>
        </w:rPr>
      </w:pPr>
      <w:r>
        <w:rPr>
          <w:highlight w:val="none"/>
        </w:rPr>
        <w:t xml:space="preserve">                                        </w:t>
      </w:r>
    </w:p>
    <w:p>
      <w:pPr>
        <w:pStyle w:val="7"/>
        <w:adjustRightInd w:val="0"/>
        <w:snapToGrid w:val="0"/>
        <w:spacing w:line="560" w:lineRule="exact"/>
        <w:jc w:val="center"/>
        <w:rPr>
          <w:rFonts w:ascii="TimesNewRoman" w:hAnsi="TimesNewRoman" w:eastAsia="黑体" w:cs="TimesNewRoman"/>
          <w:bCs/>
          <w:sz w:val="36"/>
          <w:szCs w:val="36"/>
          <w:highlight w:val="none"/>
        </w:rPr>
      </w:pPr>
      <w:r>
        <w:rPr>
          <w:rFonts w:hint="eastAsia" w:ascii="TimesNewRoman" w:hAnsi="TimesNewRoman" w:eastAsia="黑体" w:cs="TimesNewRoman"/>
          <w:bCs/>
          <w:sz w:val="36"/>
          <w:szCs w:val="36"/>
          <w:highlight w:val="none"/>
        </w:rPr>
        <w:t>第三部分 2025年部门预算情况说明</w:t>
      </w:r>
    </w:p>
    <w:p>
      <w:pPr>
        <w:rPr>
          <w:highlight w:val="none"/>
        </w:rPr>
      </w:pPr>
    </w:p>
    <w:p>
      <w:pPr>
        <w:pStyle w:val="7"/>
        <w:adjustRightInd w:val="0"/>
        <w:snapToGrid w:val="0"/>
        <w:spacing w:line="560" w:lineRule="exact"/>
        <w:ind w:firstLine="627" w:firstLineChars="196"/>
        <w:rPr>
          <w:rFonts w:ascii="TimesNewRoman" w:hAnsi="TimesNewRoman" w:eastAsia="黑体" w:cs="TimesNewRoman"/>
          <w:bCs/>
          <w:sz w:val="32"/>
          <w:szCs w:val="32"/>
          <w:highlight w:val="none"/>
        </w:rPr>
      </w:pPr>
      <w:r>
        <w:rPr>
          <w:rFonts w:hint="eastAsia" w:ascii="TimesNewRoman" w:hAnsi="TimesNewRoman" w:eastAsia="黑体" w:cs="TimesNewRoman"/>
          <w:bCs/>
          <w:sz w:val="32"/>
          <w:szCs w:val="32"/>
          <w:highlight w:val="none"/>
        </w:rPr>
        <w:t>一、关于2025年收支总表的说明</w:t>
      </w:r>
    </w:p>
    <w:p>
      <w:pPr>
        <w:pStyle w:val="7"/>
        <w:adjustRightInd w:val="0"/>
        <w:snapToGrid w:val="0"/>
        <w:spacing w:line="560" w:lineRule="exact"/>
        <w:ind w:firstLine="627" w:firstLineChars="196"/>
        <w:rPr>
          <w:rFonts w:ascii="TimesNewRoman" w:hAnsi="TimesNewRoman" w:eastAsia="仿宋_GB2312" w:cs="TimesNewRoman"/>
          <w:sz w:val="32"/>
          <w:szCs w:val="32"/>
          <w:highlight w:val="none"/>
        </w:rPr>
      </w:pPr>
      <w:r>
        <w:rPr>
          <w:rFonts w:hint="eastAsia" w:ascii="TimesNewRoman" w:hAnsi="TimesNewRoman" w:eastAsia="仿宋_GB2312" w:cs="TimesNewRoman"/>
          <w:sz w:val="32"/>
          <w:szCs w:val="32"/>
          <w:highlight w:val="none"/>
        </w:rPr>
        <w:t>按照综合预算的原则，</w:t>
      </w:r>
      <w:r>
        <w:rPr>
          <w:rFonts w:hint="eastAsia" w:ascii="TimesNewRoman" w:hAnsi="TimesNewRoman" w:eastAsia="仿宋_GB2312" w:cs="TimesNewRoman"/>
          <w:sz w:val="32"/>
          <w:szCs w:val="32"/>
          <w:highlight w:val="none"/>
          <w:lang w:eastAsia="zh-CN"/>
        </w:rPr>
        <w:t>淮北市商务局</w:t>
      </w:r>
      <w:r>
        <w:rPr>
          <w:rFonts w:hint="eastAsia" w:ascii="TimesNewRoman" w:hAnsi="TimesNewRoman" w:eastAsia="仿宋_GB2312" w:cs="TimesNewRoman"/>
          <w:sz w:val="32"/>
          <w:szCs w:val="32"/>
          <w:highlight w:val="none"/>
        </w:rPr>
        <w:t>所有收入和支出均纳入部门预算管理。</w:t>
      </w:r>
      <w:r>
        <w:rPr>
          <w:rFonts w:hint="eastAsia" w:ascii="TimesNewRoman" w:hAnsi="TimesNewRoman" w:eastAsia="仿宋_GB2312" w:cs="TimesNewRoman"/>
          <w:sz w:val="32"/>
          <w:szCs w:val="32"/>
          <w:highlight w:val="none"/>
          <w:lang w:eastAsia="zh-CN"/>
        </w:rPr>
        <w:t>淮北市商务局</w:t>
      </w:r>
      <w:r>
        <w:rPr>
          <w:rFonts w:hint="eastAsia" w:ascii="TimesNewRoman" w:hAnsi="TimesNewRoman" w:eastAsia="仿宋_GB2312" w:cs="TimesNewRoman"/>
          <w:sz w:val="32"/>
          <w:szCs w:val="32"/>
          <w:highlight w:val="none"/>
        </w:rPr>
        <w:t>2025年收支总预算</w:t>
      </w:r>
      <w:r>
        <w:rPr>
          <w:rFonts w:hint="eastAsia" w:ascii="TimesNewRoman" w:hAnsi="TimesNewRoman" w:eastAsia="仿宋_GB2312" w:cs="TimesNewRoman"/>
          <w:sz w:val="32"/>
          <w:szCs w:val="32"/>
          <w:highlight w:val="none"/>
          <w:lang w:val="en-US" w:eastAsia="zh-CN"/>
        </w:rPr>
        <w:t>1544.51</w:t>
      </w:r>
      <w:r>
        <w:rPr>
          <w:rFonts w:hint="eastAsia" w:ascii="TimesNewRoman" w:hAnsi="TimesNewRoman" w:eastAsia="仿宋_GB2312" w:cs="TimesNewRoman"/>
          <w:sz w:val="32"/>
          <w:szCs w:val="32"/>
          <w:highlight w:val="none"/>
        </w:rPr>
        <w:t>万元，收入全部是一般公共预算拨款收入</w:t>
      </w:r>
      <w:r>
        <w:rPr>
          <w:rFonts w:hint="eastAsia" w:ascii="TimesNewRoman" w:hAnsi="TimesNewRoman" w:eastAsia="仿宋_GB2312" w:cs="TimesNewRoman"/>
          <w:sz w:val="32"/>
          <w:szCs w:val="32"/>
          <w:highlight w:val="none"/>
          <w:lang w:val="en-US" w:eastAsia="zh-CN"/>
        </w:rPr>
        <w:t>1544.51</w:t>
      </w:r>
      <w:r>
        <w:rPr>
          <w:rFonts w:hint="eastAsia" w:ascii="TimesNewRoman" w:hAnsi="TimesNewRoman" w:eastAsia="仿宋_GB2312" w:cs="TimesNewRoman"/>
          <w:sz w:val="32"/>
          <w:szCs w:val="32"/>
          <w:highlight w:val="none"/>
        </w:rPr>
        <w:t>万元，支出包括：一般公共服务支出、社会保障和就业支出、卫生健康支出</w:t>
      </w:r>
      <w:r>
        <w:rPr>
          <w:rFonts w:hint="eastAsia" w:ascii="TimesNewRoman" w:hAnsi="TimesNewRoman" w:eastAsia="仿宋_GB2312" w:cs="TimesNewRoman"/>
          <w:sz w:val="32"/>
          <w:szCs w:val="32"/>
          <w:highlight w:val="none"/>
          <w:lang w:val="en-US" w:eastAsia="zh-CN"/>
        </w:rPr>
        <w:t>、</w:t>
      </w:r>
      <w:r>
        <w:rPr>
          <w:rFonts w:hint="eastAsia" w:ascii="TimesNewRoman" w:hAnsi="TimesNewRoman" w:eastAsia="仿宋_GB2312" w:cs="TimesNewRoman"/>
          <w:sz w:val="32"/>
          <w:szCs w:val="32"/>
          <w:highlight w:val="none"/>
        </w:rPr>
        <w:t>住房保障支出。</w:t>
      </w:r>
    </w:p>
    <w:p>
      <w:pPr>
        <w:pStyle w:val="7"/>
        <w:adjustRightInd w:val="0"/>
        <w:snapToGrid w:val="0"/>
        <w:spacing w:line="560" w:lineRule="exact"/>
        <w:ind w:firstLine="627" w:firstLineChars="196"/>
        <w:rPr>
          <w:rFonts w:ascii="TimesNewRoman" w:hAnsi="TimesNewRoman" w:eastAsia="黑体" w:cs="TimesNewRoman"/>
          <w:bCs/>
          <w:sz w:val="32"/>
          <w:szCs w:val="32"/>
          <w:highlight w:val="none"/>
        </w:rPr>
      </w:pPr>
      <w:r>
        <w:rPr>
          <w:rFonts w:hint="eastAsia" w:ascii="TimesNewRoman" w:hAnsi="TimesNewRoman" w:eastAsia="黑体" w:cs="TimesNewRoman"/>
          <w:bCs/>
          <w:sz w:val="32"/>
          <w:szCs w:val="32"/>
          <w:highlight w:val="none"/>
        </w:rPr>
        <w:t>二、关于2025年收入总表的说明</w:t>
      </w: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lang w:eastAsia="zh-CN"/>
        </w:rPr>
        <w:t>淮北市商务局</w:t>
      </w:r>
      <w:r>
        <w:rPr>
          <w:rFonts w:hint="eastAsia" w:ascii="TimesNewRoman" w:hAnsi="TimesNewRoman" w:eastAsia="仿宋_GB2312" w:cs="TimesNewRoman"/>
          <w:kern w:val="0"/>
          <w:sz w:val="32"/>
          <w:szCs w:val="32"/>
          <w:highlight w:val="none"/>
        </w:rPr>
        <w:t>2025年收入预算</w:t>
      </w:r>
      <w:r>
        <w:rPr>
          <w:rFonts w:hint="eastAsia" w:ascii="TimesNewRoman" w:hAnsi="TimesNewRoman" w:eastAsia="仿宋_GB2312" w:cs="TimesNewRoman"/>
          <w:sz w:val="32"/>
          <w:szCs w:val="32"/>
          <w:highlight w:val="none"/>
          <w:lang w:val="en-US" w:eastAsia="zh-CN"/>
        </w:rPr>
        <w:t>1544.51</w:t>
      </w:r>
      <w:r>
        <w:rPr>
          <w:rFonts w:hint="eastAsia" w:ascii="TimesNewRoman" w:hAnsi="TimesNewRoman" w:eastAsia="仿宋_GB2312" w:cs="TimesNewRoman"/>
          <w:kern w:val="0"/>
          <w:sz w:val="32"/>
          <w:szCs w:val="32"/>
          <w:highlight w:val="none"/>
        </w:rPr>
        <w:t>万元，其中，本年收入</w:t>
      </w:r>
      <w:r>
        <w:rPr>
          <w:rFonts w:hint="eastAsia" w:ascii="TimesNewRoman" w:hAnsi="TimesNewRoman" w:eastAsia="仿宋_GB2312" w:cs="TimesNewRoman"/>
          <w:sz w:val="32"/>
          <w:szCs w:val="32"/>
          <w:highlight w:val="none"/>
          <w:lang w:val="en-US" w:eastAsia="zh-CN"/>
        </w:rPr>
        <w:t>1544.51</w:t>
      </w:r>
      <w:r>
        <w:rPr>
          <w:rFonts w:hint="eastAsia" w:ascii="TimesNewRoman" w:hAnsi="TimesNewRoman" w:eastAsia="仿宋_GB2312" w:cs="TimesNewRoman"/>
          <w:kern w:val="0"/>
          <w:sz w:val="32"/>
          <w:szCs w:val="32"/>
          <w:highlight w:val="none"/>
        </w:rPr>
        <w:t>万元。</w:t>
      </w:r>
    </w:p>
    <w:p>
      <w:pPr>
        <w:ind w:firstLine="643"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b/>
          <w:kern w:val="0"/>
          <w:sz w:val="32"/>
          <w:szCs w:val="32"/>
          <w:highlight w:val="none"/>
        </w:rPr>
        <w:t>（一）本年收入</w:t>
      </w:r>
      <w:r>
        <w:rPr>
          <w:rFonts w:hint="eastAsia" w:ascii="TimesNewRoman" w:hAnsi="TimesNewRoman" w:eastAsia="仿宋_GB2312" w:cs="TimesNewRoman"/>
          <w:sz w:val="32"/>
          <w:szCs w:val="32"/>
          <w:highlight w:val="none"/>
          <w:lang w:val="en-US" w:eastAsia="zh-CN"/>
        </w:rPr>
        <w:t>1544.51</w:t>
      </w:r>
      <w:r>
        <w:rPr>
          <w:rFonts w:hint="eastAsia" w:ascii="TimesNewRoman" w:hAnsi="TimesNewRoman" w:eastAsia="仿宋_GB2312" w:cs="TimesNewRoman"/>
          <w:b/>
          <w:kern w:val="0"/>
          <w:sz w:val="32"/>
          <w:szCs w:val="32"/>
          <w:highlight w:val="none"/>
        </w:rPr>
        <w:t>万元，</w:t>
      </w:r>
      <w:r>
        <w:rPr>
          <w:rFonts w:hint="eastAsia" w:ascii="TimesNewRoman" w:hAnsi="TimesNewRoman" w:eastAsia="仿宋_GB2312" w:cs="TimesNewRoman"/>
          <w:kern w:val="0"/>
          <w:sz w:val="32"/>
          <w:szCs w:val="32"/>
          <w:highlight w:val="none"/>
        </w:rPr>
        <w:t>主要包括：一般公共预算拨款收入</w:t>
      </w:r>
      <w:r>
        <w:rPr>
          <w:rFonts w:hint="eastAsia" w:ascii="TimesNewRoman" w:hAnsi="TimesNewRoman" w:eastAsia="仿宋_GB2312" w:cs="TimesNewRoman"/>
          <w:sz w:val="32"/>
          <w:szCs w:val="32"/>
          <w:highlight w:val="none"/>
          <w:lang w:val="en-US" w:eastAsia="zh-CN"/>
        </w:rPr>
        <w:t>1544.51</w:t>
      </w:r>
      <w:r>
        <w:rPr>
          <w:rFonts w:hint="eastAsia" w:ascii="TimesNewRoman" w:hAnsi="TimesNewRoman" w:eastAsia="仿宋_GB2312" w:cs="TimesNewRoman"/>
          <w:kern w:val="0"/>
          <w:sz w:val="32"/>
          <w:szCs w:val="32"/>
          <w:highlight w:val="none"/>
        </w:rPr>
        <w:t>万元，占</w:t>
      </w:r>
      <w:r>
        <w:rPr>
          <w:rFonts w:hint="eastAsia" w:ascii="TimesNewRoman" w:hAnsi="TimesNewRoman" w:eastAsia="仿宋_GB2312" w:cs="TimesNewRoman"/>
          <w:kern w:val="0"/>
          <w:sz w:val="32"/>
          <w:szCs w:val="32"/>
          <w:highlight w:val="none"/>
          <w:lang w:val="en-US" w:eastAsia="zh-CN"/>
        </w:rPr>
        <w:t>100</w:t>
      </w:r>
      <w:r>
        <w:rPr>
          <w:rFonts w:hint="eastAsia" w:ascii="TimesNewRoman" w:hAnsi="TimesNewRoman" w:eastAsia="仿宋_GB2312" w:cs="TimesNewRoman"/>
          <w:kern w:val="0"/>
          <w:sz w:val="32"/>
          <w:szCs w:val="32"/>
          <w:highlight w:val="none"/>
        </w:rPr>
        <w:t>%，比2024年预算减少</w:t>
      </w:r>
      <w:r>
        <w:rPr>
          <w:rFonts w:hint="eastAsia" w:ascii="TimesNewRoman" w:hAnsi="TimesNewRoman" w:eastAsia="仿宋_GB2312" w:cs="TimesNewRoman"/>
          <w:kern w:val="0"/>
          <w:sz w:val="32"/>
          <w:szCs w:val="32"/>
          <w:highlight w:val="none"/>
          <w:lang w:val="en-US" w:eastAsia="zh-CN"/>
        </w:rPr>
        <w:t>200.48</w:t>
      </w:r>
      <w:r>
        <w:rPr>
          <w:rFonts w:hint="eastAsia" w:ascii="TimesNewRoman" w:hAnsi="TimesNewRoman" w:eastAsia="仿宋_GB2312" w:cs="TimesNewRoman"/>
          <w:kern w:val="0"/>
          <w:sz w:val="32"/>
          <w:szCs w:val="32"/>
          <w:highlight w:val="none"/>
        </w:rPr>
        <w:t>万元，下降</w:t>
      </w:r>
      <w:r>
        <w:rPr>
          <w:rFonts w:hint="eastAsia" w:ascii="TimesNewRoman" w:hAnsi="TimesNewRoman" w:eastAsia="仿宋_GB2312" w:cs="TimesNewRoman"/>
          <w:kern w:val="0"/>
          <w:sz w:val="32"/>
          <w:szCs w:val="32"/>
          <w:highlight w:val="none"/>
          <w:lang w:val="en-US" w:eastAsia="zh-CN"/>
        </w:rPr>
        <w:t>11.49</w:t>
      </w:r>
      <w:r>
        <w:rPr>
          <w:rFonts w:hint="eastAsia" w:ascii="TimesNewRoman" w:hAnsi="TimesNewRoman" w:eastAsia="仿宋_GB2312" w:cs="TimesNewRoman"/>
          <w:kern w:val="0"/>
          <w:sz w:val="32"/>
          <w:szCs w:val="32"/>
          <w:highlight w:val="none"/>
        </w:rPr>
        <w:t>%，原因主要是人员支出拨款减少</w:t>
      </w:r>
      <w:r>
        <w:rPr>
          <w:rFonts w:hint="eastAsia" w:ascii="TimesNewRoman" w:hAnsi="TimesNewRoman" w:eastAsia="仿宋_GB2312" w:cs="TimesNewRoman"/>
          <w:kern w:val="0"/>
          <w:sz w:val="32"/>
          <w:szCs w:val="32"/>
          <w:highlight w:val="none"/>
          <w:lang w:val="en-US" w:eastAsia="zh-CN"/>
        </w:rPr>
        <w:t>74.47</w:t>
      </w:r>
      <w:r>
        <w:rPr>
          <w:rFonts w:hint="eastAsia" w:ascii="TimesNewRoman" w:hAnsi="TimesNewRoman" w:eastAsia="仿宋_GB2312" w:cs="TimesNewRoman"/>
          <w:kern w:val="0"/>
          <w:sz w:val="32"/>
          <w:szCs w:val="32"/>
          <w:highlight w:val="none"/>
        </w:rPr>
        <w:t>万元、公用支出拨款</w:t>
      </w:r>
      <w:r>
        <w:rPr>
          <w:rFonts w:hint="eastAsia" w:ascii="TimesNewRoman" w:hAnsi="TimesNewRoman" w:eastAsia="仿宋_GB2312" w:cs="TimesNewRoman"/>
          <w:kern w:val="0"/>
          <w:sz w:val="32"/>
          <w:szCs w:val="32"/>
          <w:highlight w:val="none"/>
          <w:lang w:val="en-US" w:eastAsia="zh-CN"/>
        </w:rPr>
        <w:t>增加26.71</w:t>
      </w:r>
      <w:r>
        <w:rPr>
          <w:rFonts w:hint="eastAsia" w:ascii="TimesNewRoman" w:hAnsi="TimesNewRoman" w:eastAsia="仿宋_GB2312" w:cs="TimesNewRoman"/>
          <w:kern w:val="0"/>
          <w:sz w:val="32"/>
          <w:szCs w:val="32"/>
          <w:highlight w:val="none"/>
        </w:rPr>
        <w:t>万元、项目支出拨款</w:t>
      </w:r>
      <w:r>
        <w:rPr>
          <w:rFonts w:hint="eastAsia" w:ascii="TimesNewRoman" w:hAnsi="TimesNewRoman" w:eastAsia="仿宋_GB2312" w:cs="TimesNewRoman"/>
          <w:kern w:val="0"/>
          <w:sz w:val="32"/>
          <w:szCs w:val="32"/>
          <w:highlight w:val="none"/>
          <w:lang w:val="en-US" w:eastAsia="zh-CN"/>
        </w:rPr>
        <w:t>减少152.73</w:t>
      </w:r>
      <w:r>
        <w:rPr>
          <w:rFonts w:hint="eastAsia" w:ascii="TimesNewRoman" w:hAnsi="TimesNewRoman" w:eastAsia="仿宋_GB2312" w:cs="TimesNewRoman"/>
          <w:kern w:val="0"/>
          <w:sz w:val="32"/>
          <w:szCs w:val="32"/>
          <w:highlight w:val="none"/>
        </w:rPr>
        <w:t>万元；政府性基金预算拨款收入</w:t>
      </w:r>
      <w:r>
        <w:rPr>
          <w:rFonts w:hint="eastAsia" w:ascii="TimesNewRoman" w:hAnsi="TimesNewRoman" w:eastAsia="仿宋_GB2312" w:cs="TimesNewRoman"/>
          <w:kern w:val="0"/>
          <w:sz w:val="32"/>
          <w:szCs w:val="32"/>
          <w:highlight w:val="none"/>
          <w:lang w:val="en-US" w:eastAsia="zh-CN"/>
        </w:rPr>
        <w:t>0</w:t>
      </w:r>
      <w:r>
        <w:rPr>
          <w:rFonts w:hint="eastAsia" w:ascii="TimesNewRoman" w:hAnsi="TimesNewRoman" w:eastAsia="仿宋_GB2312" w:cs="TimesNewRoman"/>
          <w:kern w:val="0"/>
          <w:sz w:val="32"/>
          <w:szCs w:val="32"/>
          <w:highlight w:val="none"/>
        </w:rPr>
        <w:t>万元，占</w:t>
      </w:r>
      <w:r>
        <w:rPr>
          <w:rFonts w:hint="eastAsia" w:ascii="TimesNewRoman" w:hAnsi="TimesNewRoman" w:eastAsia="仿宋_GB2312" w:cs="TimesNewRoman"/>
          <w:kern w:val="0"/>
          <w:sz w:val="32"/>
          <w:szCs w:val="32"/>
          <w:highlight w:val="none"/>
          <w:lang w:val="en-US" w:eastAsia="zh-CN"/>
        </w:rPr>
        <w:t>0</w:t>
      </w:r>
      <w:r>
        <w:rPr>
          <w:rFonts w:hint="eastAsia" w:ascii="TimesNewRoman" w:hAnsi="TimesNewRoman" w:eastAsia="仿宋_GB2312" w:cs="TimesNewRoman"/>
          <w:kern w:val="0"/>
          <w:sz w:val="32"/>
          <w:szCs w:val="32"/>
          <w:highlight w:val="none"/>
        </w:rPr>
        <w:t>%，比2024年预算增加</w:t>
      </w:r>
      <w:r>
        <w:rPr>
          <w:rFonts w:hint="eastAsia" w:ascii="TimesNewRoman" w:hAnsi="TimesNewRoman" w:eastAsia="仿宋_GB2312" w:cs="TimesNewRoman"/>
          <w:kern w:val="0"/>
          <w:sz w:val="32"/>
          <w:szCs w:val="32"/>
          <w:highlight w:val="none"/>
          <w:lang w:val="en-US" w:eastAsia="zh-CN"/>
        </w:rPr>
        <w:t>0</w:t>
      </w:r>
      <w:r>
        <w:rPr>
          <w:rFonts w:hint="eastAsia" w:ascii="TimesNewRoman" w:hAnsi="TimesNewRoman" w:eastAsia="仿宋_GB2312" w:cs="TimesNewRoman"/>
          <w:kern w:val="0"/>
          <w:sz w:val="32"/>
          <w:szCs w:val="32"/>
          <w:highlight w:val="none"/>
        </w:rPr>
        <w:t>万元，增长</w:t>
      </w:r>
      <w:r>
        <w:rPr>
          <w:rFonts w:hint="eastAsia" w:ascii="TimesNewRoman" w:hAnsi="TimesNewRoman" w:eastAsia="仿宋_GB2312" w:cs="TimesNewRoman"/>
          <w:kern w:val="0"/>
          <w:sz w:val="32"/>
          <w:szCs w:val="32"/>
          <w:highlight w:val="none"/>
          <w:lang w:val="en-US" w:eastAsia="zh-CN"/>
        </w:rPr>
        <w:t>0</w:t>
      </w:r>
      <w:r>
        <w:rPr>
          <w:rFonts w:hint="eastAsia" w:ascii="TimesNewRoman" w:hAnsi="TimesNewRoman" w:eastAsia="仿宋_GB2312" w:cs="TimesNewRoman"/>
          <w:kern w:val="0"/>
          <w:sz w:val="32"/>
          <w:szCs w:val="32"/>
          <w:highlight w:val="none"/>
        </w:rPr>
        <w:t>%，</w:t>
      </w:r>
      <w:r>
        <w:rPr>
          <w:rFonts w:hint="eastAsia" w:ascii="TimesNewRoman" w:hAnsi="TimesNewRoman" w:eastAsia="仿宋_GB2312" w:cs="TimesNewRoman"/>
          <w:kern w:val="0"/>
          <w:sz w:val="32"/>
          <w:szCs w:val="32"/>
          <w:highlight w:val="none"/>
          <w:lang w:val="en-US" w:eastAsia="zh-CN"/>
        </w:rPr>
        <w:t>主要原因为本单位无</w:t>
      </w:r>
      <w:r>
        <w:rPr>
          <w:rFonts w:hint="eastAsia" w:ascii="TimesNewRoman" w:hAnsi="TimesNewRoman" w:eastAsia="仿宋_GB2312" w:cs="TimesNewRoman"/>
          <w:kern w:val="0"/>
          <w:sz w:val="32"/>
          <w:szCs w:val="32"/>
          <w:highlight w:val="none"/>
        </w:rPr>
        <w:t>政府性基金预算拨款收入；财政专户管理资金收入</w:t>
      </w:r>
      <w:r>
        <w:rPr>
          <w:rFonts w:hint="eastAsia" w:ascii="TimesNewRoman" w:hAnsi="TimesNewRoman" w:eastAsia="仿宋_GB2312" w:cs="TimesNewRoman"/>
          <w:kern w:val="0"/>
          <w:sz w:val="32"/>
          <w:szCs w:val="32"/>
          <w:highlight w:val="none"/>
          <w:lang w:val="en-US" w:eastAsia="zh-CN"/>
        </w:rPr>
        <w:t>0</w:t>
      </w:r>
      <w:r>
        <w:rPr>
          <w:rFonts w:hint="eastAsia" w:ascii="TimesNewRoman" w:hAnsi="TimesNewRoman" w:eastAsia="仿宋_GB2312" w:cs="TimesNewRoman"/>
          <w:kern w:val="0"/>
          <w:sz w:val="32"/>
          <w:szCs w:val="32"/>
          <w:highlight w:val="none"/>
        </w:rPr>
        <w:t>万元，占</w:t>
      </w:r>
      <w:r>
        <w:rPr>
          <w:rFonts w:hint="eastAsia" w:ascii="TimesNewRoman" w:hAnsi="TimesNewRoman" w:eastAsia="仿宋_GB2312" w:cs="TimesNewRoman"/>
          <w:kern w:val="0"/>
          <w:sz w:val="32"/>
          <w:szCs w:val="32"/>
          <w:highlight w:val="none"/>
          <w:lang w:val="en-US" w:eastAsia="zh-CN"/>
        </w:rPr>
        <w:t>0</w:t>
      </w:r>
      <w:r>
        <w:rPr>
          <w:rFonts w:hint="eastAsia" w:ascii="TimesNewRoman" w:hAnsi="TimesNewRoman" w:eastAsia="仿宋_GB2312" w:cs="TimesNewRoman"/>
          <w:kern w:val="0"/>
          <w:sz w:val="32"/>
          <w:szCs w:val="32"/>
          <w:highlight w:val="none"/>
        </w:rPr>
        <w:t>%，比2024年预算增加</w:t>
      </w:r>
      <w:r>
        <w:rPr>
          <w:rFonts w:hint="eastAsia" w:ascii="TimesNewRoman" w:hAnsi="TimesNewRoman" w:eastAsia="仿宋_GB2312" w:cs="TimesNewRoman"/>
          <w:kern w:val="0"/>
          <w:sz w:val="32"/>
          <w:szCs w:val="32"/>
          <w:highlight w:val="none"/>
          <w:lang w:val="en-US" w:eastAsia="zh-CN"/>
        </w:rPr>
        <w:t>0</w:t>
      </w:r>
      <w:r>
        <w:rPr>
          <w:rFonts w:hint="eastAsia" w:ascii="TimesNewRoman" w:hAnsi="TimesNewRoman" w:eastAsia="仿宋_GB2312" w:cs="TimesNewRoman"/>
          <w:kern w:val="0"/>
          <w:sz w:val="32"/>
          <w:szCs w:val="32"/>
          <w:highlight w:val="none"/>
        </w:rPr>
        <w:t>万元，增长</w:t>
      </w:r>
      <w:r>
        <w:rPr>
          <w:rFonts w:hint="eastAsia" w:ascii="TimesNewRoman" w:hAnsi="TimesNewRoman" w:eastAsia="仿宋_GB2312" w:cs="TimesNewRoman"/>
          <w:kern w:val="0"/>
          <w:sz w:val="32"/>
          <w:szCs w:val="32"/>
          <w:highlight w:val="none"/>
          <w:lang w:val="en-US" w:eastAsia="zh-CN"/>
        </w:rPr>
        <w:t>0</w:t>
      </w:r>
      <w:r>
        <w:rPr>
          <w:rFonts w:hint="eastAsia" w:ascii="TimesNewRoman" w:hAnsi="TimesNewRoman" w:eastAsia="仿宋_GB2312" w:cs="TimesNewRoman"/>
          <w:kern w:val="0"/>
          <w:sz w:val="32"/>
          <w:szCs w:val="32"/>
          <w:highlight w:val="none"/>
        </w:rPr>
        <w:t>%，</w:t>
      </w:r>
      <w:r>
        <w:rPr>
          <w:rFonts w:hint="eastAsia" w:ascii="TimesNewRoman" w:hAnsi="TimesNewRoman" w:eastAsia="仿宋_GB2312" w:cs="TimesNewRoman"/>
          <w:kern w:val="0"/>
          <w:sz w:val="32"/>
          <w:szCs w:val="32"/>
          <w:highlight w:val="none"/>
          <w:lang w:val="en-US" w:eastAsia="zh-CN"/>
        </w:rPr>
        <w:t>主要原因为本单位无</w:t>
      </w:r>
      <w:r>
        <w:rPr>
          <w:rFonts w:hint="eastAsia" w:ascii="TimesNewRoman" w:hAnsi="TimesNewRoman" w:eastAsia="仿宋_GB2312" w:cs="TimesNewRoman"/>
          <w:kern w:val="0"/>
          <w:sz w:val="32"/>
          <w:szCs w:val="32"/>
          <w:highlight w:val="none"/>
        </w:rPr>
        <w:t>财政专户管理资金收入。</w:t>
      </w:r>
    </w:p>
    <w:p>
      <w:pPr>
        <w:pStyle w:val="7"/>
        <w:adjustRightInd w:val="0"/>
        <w:snapToGrid w:val="0"/>
        <w:spacing w:line="560" w:lineRule="exact"/>
        <w:ind w:firstLine="627" w:firstLineChars="196"/>
        <w:rPr>
          <w:rFonts w:ascii="TimesNewRoman" w:hAnsi="TimesNewRoman" w:eastAsia="黑体" w:cs="TimesNewRoman"/>
          <w:bCs/>
          <w:sz w:val="32"/>
          <w:szCs w:val="32"/>
          <w:highlight w:val="none"/>
        </w:rPr>
      </w:pPr>
      <w:r>
        <w:rPr>
          <w:rFonts w:hint="eastAsia" w:ascii="TimesNewRoman" w:hAnsi="TimesNewRoman" w:eastAsia="黑体" w:cs="TimesNewRoman"/>
          <w:bCs/>
          <w:sz w:val="32"/>
          <w:szCs w:val="32"/>
          <w:highlight w:val="none"/>
        </w:rPr>
        <w:t>三、关于2025年支出总表的说明</w:t>
      </w: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lang w:eastAsia="zh-CN"/>
        </w:rPr>
        <w:t>淮北市商务局</w:t>
      </w:r>
      <w:r>
        <w:rPr>
          <w:rFonts w:hint="eastAsia" w:ascii="TimesNewRoman" w:hAnsi="TimesNewRoman" w:eastAsia="仿宋_GB2312" w:cs="TimesNewRoman"/>
          <w:kern w:val="0"/>
          <w:sz w:val="32"/>
          <w:szCs w:val="32"/>
          <w:highlight w:val="none"/>
        </w:rPr>
        <w:t>2025年支出预算</w:t>
      </w:r>
      <w:r>
        <w:rPr>
          <w:rFonts w:hint="eastAsia" w:ascii="TimesNewRoman" w:hAnsi="TimesNewRoman" w:eastAsia="仿宋_GB2312" w:cs="TimesNewRoman"/>
          <w:sz w:val="32"/>
          <w:szCs w:val="32"/>
          <w:highlight w:val="none"/>
          <w:lang w:val="en-US" w:eastAsia="zh-CN"/>
        </w:rPr>
        <w:t>1544.51</w:t>
      </w:r>
      <w:r>
        <w:rPr>
          <w:rFonts w:hint="eastAsia" w:ascii="TimesNewRoman" w:hAnsi="TimesNewRoman" w:eastAsia="仿宋_GB2312" w:cs="TimesNewRoman"/>
          <w:kern w:val="0"/>
          <w:sz w:val="32"/>
          <w:szCs w:val="32"/>
          <w:highlight w:val="none"/>
        </w:rPr>
        <w:t>万元，比2024年预算减少</w:t>
      </w:r>
      <w:r>
        <w:rPr>
          <w:rFonts w:hint="eastAsia" w:ascii="TimesNewRoman" w:hAnsi="TimesNewRoman" w:eastAsia="仿宋_GB2312" w:cs="TimesNewRoman"/>
          <w:kern w:val="0"/>
          <w:sz w:val="32"/>
          <w:szCs w:val="32"/>
          <w:highlight w:val="none"/>
          <w:lang w:val="en-US" w:eastAsia="zh-CN"/>
        </w:rPr>
        <w:t>200.48</w:t>
      </w:r>
      <w:r>
        <w:rPr>
          <w:rFonts w:hint="eastAsia" w:ascii="TimesNewRoman" w:hAnsi="TimesNewRoman" w:eastAsia="仿宋_GB2312" w:cs="TimesNewRoman"/>
          <w:kern w:val="0"/>
          <w:sz w:val="32"/>
          <w:szCs w:val="32"/>
          <w:highlight w:val="none"/>
        </w:rPr>
        <w:t>万元，下降</w:t>
      </w:r>
      <w:r>
        <w:rPr>
          <w:rFonts w:hint="eastAsia" w:ascii="TimesNewRoman" w:hAnsi="TimesNewRoman" w:eastAsia="仿宋_GB2312" w:cs="TimesNewRoman"/>
          <w:kern w:val="0"/>
          <w:sz w:val="32"/>
          <w:szCs w:val="32"/>
          <w:highlight w:val="none"/>
          <w:lang w:val="en-US" w:eastAsia="zh-CN"/>
        </w:rPr>
        <w:t>11.49</w:t>
      </w:r>
      <w:r>
        <w:rPr>
          <w:rFonts w:hint="eastAsia" w:ascii="TimesNewRoman" w:hAnsi="TimesNewRoman" w:eastAsia="仿宋_GB2312" w:cs="TimesNewRoman"/>
          <w:kern w:val="0"/>
          <w:sz w:val="32"/>
          <w:szCs w:val="32"/>
          <w:highlight w:val="none"/>
        </w:rPr>
        <w:t>%，原因主要是人员支出拨款减少</w:t>
      </w:r>
      <w:r>
        <w:rPr>
          <w:rFonts w:hint="eastAsia" w:ascii="TimesNewRoman" w:hAnsi="TimesNewRoman" w:eastAsia="仿宋_GB2312" w:cs="TimesNewRoman"/>
          <w:kern w:val="0"/>
          <w:sz w:val="32"/>
          <w:szCs w:val="32"/>
          <w:highlight w:val="none"/>
          <w:lang w:val="en-US" w:eastAsia="zh-CN"/>
        </w:rPr>
        <w:t>74.47</w:t>
      </w:r>
      <w:r>
        <w:rPr>
          <w:rFonts w:hint="eastAsia" w:ascii="TimesNewRoman" w:hAnsi="TimesNewRoman" w:eastAsia="仿宋_GB2312" w:cs="TimesNewRoman"/>
          <w:kern w:val="0"/>
          <w:sz w:val="32"/>
          <w:szCs w:val="32"/>
          <w:highlight w:val="none"/>
        </w:rPr>
        <w:t>万元、公用支出拨款</w:t>
      </w:r>
      <w:r>
        <w:rPr>
          <w:rFonts w:hint="eastAsia" w:ascii="TimesNewRoman" w:hAnsi="TimesNewRoman" w:eastAsia="仿宋_GB2312" w:cs="TimesNewRoman"/>
          <w:kern w:val="0"/>
          <w:sz w:val="32"/>
          <w:szCs w:val="32"/>
          <w:highlight w:val="none"/>
          <w:lang w:val="en-US" w:eastAsia="zh-CN"/>
        </w:rPr>
        <w:t>增加26.71</w:t>
      </w:r>
      <w:r>
        <w:rPr>
          <w:rFonts w:hint="eastAsia" w:ascii="TimesNewRoman" w:hAnsi="TimesNewRoman" w:eastAsia="仿宋_GB2312" w:cs="TimesNewRoman"/>
          <w:kern w:val="0"/>
          <w:sz w:val="32"/>
          <w:szCs w:val="32"/>
          <w:highlight w:val="none"/>
        </w:rPr>
        <w:t>万元、项目支出拨款</w:t>
      </w:r>
      <w:r>
        <w:rPr>
          <w:rFonts w:hint="eastAsia" w:ascii="TimesNewRoman" w:hAnsi="TimesNewRoman" w:eastAsia="仿宋_GB2312" w:cs="TimesNewRoman"/>
          <w:kern w:val="0"/>
          <w:sz w:val="32"/>
          <w:szCs w:val="32"/>
          <w:highlight w:val="none"/>
          <w:lang w:val="en-US" w:eastAsia="zh-CN"/>
        </w:rPr>
        <w:t>减少152.73</w:t>
      </w:r>
      <w:r>
        <w:rPr>
          <w:rFonts w:hint="eastAsia" w:ascii="TimesNewRoman" w:hAnsi="TimesNewRoman" w:eastAsia="仿宋_GB2312" w:cs="TimesNewRoman"/>
          <w:kern w:val="0"/>
          <w:sz w:val="32"/>
          <w:szCs w:val="32"/>
          <w:highlight w:val="none"/>
        </w:rPr>
        <w:t>万元。其中，基本支出</w:t>
      </w:r>
      <w:r>
        <w:rPr>
          <w:rFonts w:hint="eastAsia" w:ascii="TimesNewRoman" w:hAnsi="TimesNewRoman" w:eastAsia="仿宋_GB2312" w:cs="TimesNewRoman"/>
          <w:kern w:val="0"/>
          <w:sz w:val="32"/>
          <w:szCs w:val="32"/>
          <w:highlight w:val="none"/>
          <w:lang w:val="en-US" w:eastAsia="zh-CN"/>
        </w:rPr>
        <w:t>1214.51</w:t>
      </w:r>
      <w:r>
        <w:rPr>
          <w:rFonts w:hint="eastAsia" w:ascii="TimesNewRoman" w:hAnsi="TimesNewRoman" w:eastAsia="仿宋_GB2312" w:cs="TimesNewRoman"/>
          <w:kern w:val="0"/>
          <w:sz w:val="32"/>
          <w:szCs w:val="32"/>
          <w:highlight w:val="none"/>
        </w:rPr>
        <w:t>万元，占</w:t>
      </w:r>
      <w:r>
        <w:rPr>
          <w:rFonts w:hint="eastAsia" w:ascii="TimesNewRoman" w:hAnsi="TimesNewRoman" w:eastAsia="仿宋_GB2312" w:cs="TimesNewRoman"/>
          <w:kern w:val="0"/>
          <w:sz w:val="32"/>
          <w:szCs w:val="32"/>
          <w:highlight w:val="none"/>
          <w:lang w:val="en-US" w:eastAsia="zh-CN"/>
        </w:rPr>
        <w:t>78.63</w:t>
      </w:r>
      <w:r>
        <w:rPr>
          <w:rFonts w:hint="eastAsia" w:ascii="TimesNewRoman" w:hAnsi="TimesNewRoman" w:eastAsia="仿宋_GB2312" w:cs="TimesNewRoman"/>
          <w:kern w:val="0"/>
          <w:sz w:val="32"/>
          <w:szCs w:val="32"/>
          <w:highlight w:val="none"/>
        </w:rPr>
        <w:t>%，主要用于保障机构日常运转、完成日常工作任务；项目支出</w:t>
      </w:r>
      <w:r>
        <w:rPr>
          <w:rFonts w:hint="eastAsia" w:ascii="TimesNewRoman" w:hAnsi="TimesNewRoman" w:eastAsia="仿宋_GB2312" w:cs="TimesNewRoman"/>
          <w:kern w:val="0"/>
          <w:sz w:val="32"/>
          <w:szCs w:val="32"/>
          <w:highlight w:val="none"/>
          <w:lang w:val="en-US" w:eastAsia="zh-CN"/>
        </w:rPr>
        <w:t>330</w:t>
      </w:r>
      <w:r>
        <w:rPr>
          <w:rFonts w:hint="eastAsia" w:ascii="TimesNewRoman" w:hAnsi="TimesNewRoman" w:eastAsia="仿宋_GB2312" w:cs="TimesNewRoman"/>
          <w:kern w:val="0"/>
          <w:sz w:val="32"/>
          <w:szCs w:val="32"/>
          <w:highlight w:val="none"/>
        </w:rPr>
        <w:t>万元，占</w:t>
      </w:r>
      <w:r>
        <w:rPr>
          <w:rFonts w:hint="eastAsia" w:ascii="TimesNewRoman" w:hAnsi="TimesNewRoman" w:eastAsia="仿宋_GB2312" w:cs="TimesNewRoman"/>
          <w:kern w:val="0"/>
          <w:sz w:val="32"/>
          <w:szCs w:val="32"/>
          <w:highlight w:val="none"/>
          <w:lang w:val="en-US" w:eastAsia="zh-CN"/>
        </w:rPr>
        <w:t>21.37</w:t>
      </w:r>
      <w:r>
        <w:rPr>
          <w:rFonts w:hint="eastAsia" w:ascii="TimesNewRoman" w:hAnsi="TimesNewRoman" w:eastAsia="仿宋_GB2312" w:cs="TimesNewRoman"/>
          <w:kern w:val="0"/>
          <w:sz w:val="32"/>
          <w:szCs w:val="32"/>
          <w:highlight w:val="none"/>
        </w:rPr>
        <w:t>%，主要用于</w:t>
      </w:r>
      <w:r>
        <w:rPr>
          <w:rFonts w:hint="eastAsia" w:ascii="仿宋_GB2312" w:hAnsi="仿宋" w:eastAsia="仿宋_GB2312"/>
          <w:sz w:val="32"/>
          <w:szCs w:val="32"/>
          <w:highlight w:val="none"/>
          <w:lang w:eastAsia="zh-CN"/>
        </w:rPr>
        <w:t>完成</w:t>
      </w:r>
      <w:r>
        <w:rPr>
          <w:rFonts w:hint="eastAsia" w:ascii="仿宋_GB2312" w:hAnsi="仿宋" w:eastAsia="仿宋_GB2312"/>
          <w:sz w:val="32"/>
          <w:szCs w:val="32"/>
          <w:highlight w:val="none"/>
        </w:rPr>
        <w:t>特定行政任务和商务发展目标所发生的支出</w:t>
      </w:r>
      <w:r>
        <w:rPr>
          <w:rFonts w:hint="eastAsia" w:ascii="TimesNewRoman" w:hAnsi="TimesNewRoman" w:eastAsia="仿宋_GB2312" w:cs="TimesNewRoman"/>
          <w:kern w:val="0"/>
          <w:sz w:val="32"/>
          <w:szCs w:val="32"/>
          <w:highlight w:val="none"/>
        </w:rPr>
        <w:t>。</w:t>
      </w:r>
    </w:p>
    <w:p>
      <w:pPr>
        <w:pStyle w:val="7"/>
        <w:adjustRightInd w:val="0"/>
        <w:snapToGrid w:val="0"/>
        <w:spacing w:line="560" w:lineRule="exact"/>
        <w:ind w:firstLine="627" w:firstLineChars="196"/>
        <w:rPr>
          <w:rFonts w:ascii="TimesNewRoman" w:hAnsi="TimesNewRoman" w:eastAsia="黑体" w:cs="TimesNewRoman"/>
          <w:bCs/>
          <w:sz w:val="32"/>
          <w:szCs w:val="32"/>
          <w:highlight w:val="none"/>
        </w:rPr>
      </w:pPr>
      <w:r>
        <w:rPr>
          <w:rFonts w:hint="eastAsia" w:ascii="TimesNewRoman" w:hAnsi="TimesNewRoman" w:eastAsia="黑体" w:cs="TimesNewRoman"/>
          <w:bCs/>
          <w:sz w:val="32"/>
          <w:szCs w:val="32"/>
          <w:highlight w:val="none"/>
        </w:rPr>
        <w:t>四、关于2025年财政拨款收支总表的说明</w:t>
      </w: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lang w:eastAsia="zh-CN"/>
        </w:rPr>
        <w:t>淮北市商务局</w:t>
      </w:r>
      <w:r>
        <w:rPr>
          <w:rFonts w:hint="eastAsia" w:ascii="TimesNewRoman" w:hAnsi="TimesNewRoman" w:eastAsia="仿宋_GB2312" w:cs="TimesNewRoman"/>
          <w:kern w:val="0"/>
          <w:sz w:val="32"/>
          <w:szCs w:val="32"/>
          <w:highlight w:val="none"/>
        </w:rPr>
        <w:t>2025年财政拨款收支预算</w:t>
      </w:r>
      <w:r>
        <w:rPr>
          <w:rFonts w:hint="eastAsia" w:ascii="TimesNewRoman" w:hAnsi="TimesNewRoman" w:eastAsia="仿宋_GB2312" w:cs="TimesNewRoman"/>
          <w:sz w:val="32"/>
          <w:szCs w:val="32"/>
          <w:highlight w:val="none"/>
          <w:lang w:val="en-US" w:eastAsia="zh-CN"/>
        </w:rPr>
        <w:t>1544.51</w:t>
      </w:r>
      <w:r>
        <w:rPr>
          <w:rFonts w:hint="eastAsia" w:ascii="TimesNewRoman" w:hAnsi="TimesNewRoman" w:eastAsia="仿宋_GB2312" w:cs="TimesNewRoman"/>
          <w:kern w:val="0"/>
          <w:sz w:val="32"/>
          <w:szCs w:val="32"/>
          <w:highlight w:val="none"/>
        </w:rPr>
        <w:t>万元。收入按资金来源分为：一般公共预算拨款</w:t>
      </w:r>
      <w:r>
        <w:rPr>
          <w:rFonts w:hint="eastAsia" w:ascii="TimesNewRoman" w:hAnsi="TimesNewRoman" w:eastAsia="仿宋_GB2312" w:cs="TimesNewRoman"/>
          <w:sz w:val="32"/>
          <w:szCs w:val="32"/>
          <w:highlight w:val="none"/>
          <w:lang w:val="en-US" w:eastAsia="zh-CN"/>
        </w:rPr>
        <w:t>1544.51</w:t>
      </w:r>
      <w:r>
        <w:rPr>
          <w:rFonts w:hint="eastAsia" w:ascii="TimesNewRoman" w:hAnsi="TimesNewRoman" w:eastAsia="仿宋_GB2312" w:cs="TimesNewRoman"/>
          <w:kern w:val="0"/>
          <w:sz w:val="32"/>
          <w:szCs w:val="32"/>
          <w:highlight w:val="none"/>
        </w:rPr>
        <w:t>万元、政府性基金预算拨款</w:t>
      </w:r>
      <w:r>
        <w:rPr>
          <w:rFonts w:hint="eastAsia" w:ascii="TimesNewRoman" w:hAnsi="TimesNewRoman" w:eastAsia="仿宋_GB2312" w:cs="TimesNewRoman"/>
          <w:kern w:val="0"/>
          <w:sz w:val="32"/>
          <w:szCs w:val="32"/>
          <w:highlight w:val="none"/>
          <w:lang w:val="en-US" w:eastAsia="zh-CN"/>
        </w:rPr>
        <w:t>0</w:t>
      </w:r>
      <w:r>
        <w:rPr>
          <w:rFonts w:hint="eastAsia" w:ascii="TimesNewRoman" w:hAnsi="TimesNewRoman" w:eastAsia="仿宋_GB2312" w:cs="TimesNewRoman"/>
          <w:kern w:val="0"/>
          <w:sz w:val="32"/>
          <w:szCs w:val="32"/>
          <w:highlight w:val="none"/>
        </w:rPr>
        <w:t>万元；按资金年度分为：本年财政拨款收入</w:t>
      </w:r>
      <w:r>
        <w:rPr>
          <w:rFonts w:hint="eastAsia" w:ascii="TimesNewRoman" w:hAnsi="TimesNewRoman" w:eastAsia="仿宋_GB2312" w:cs="TimesNewRoman"/>
          <w:sz w:val="32"/>
          <w:szCs w:val="32"/>
          <w:highlight w:val="none"/>
          <w:lang w:val="en-US" w:eastAsia="zh-CN"/>
        </w:rPr>
        <w:t>1544.51</w:t>
      </w:r>
      <w:r>
        <w:rPr>
          <w:rFonts w:hint="eastAsia" w:ascii="TimesNewRoman" w:hAnsi="TimesNewRoman" w:eastAsia="仿宋_GB2312" w:cs="TimesNewRoman"/>
          <w:kern w:val="0"/>
          <w:sz w:val="32"/>
          <w:szCs w:val="32"/>
          <w:highlight w:val="none"/>
        </w:rPr>
        <w:t>万元。支出按功能分类分为：一般公共服务支出</w:t>
      </w:r>
      <w:r>
        <w:rPr>
          <w:rFonts w:hint="eastAsia" w:ascii="TimesNewRoman" w:hAnsi="TimesNewRoman" w:eastAsia="仿宋_GB2312" w:cs="TimesNewRoman"/>
          <w:kern w:val="0"/>
          <w:sz w:val="32"/>
          <w:szCs w:val="32"/>
          <w:highlight w:val="none"/>
          <w:lang w:val="en-US" w:eastAsia="zh-CN"/>
        </w:rPr>
        <w:t>1040.96</w:t>
      </w:r>
      <w:r>
        <w:rPr>
          <w:rFonts w:hint="eastAsia" w:ascii="TimesNewRoman" w:hAnsi="TimesNewRoman" w:eastAsia="仿宋_GB2312" w:cs="TimesNewRoman"/>
          <w:kern w:val="0"/>
          <w:sz w:val="32"/>
          <w:szCs w:val="32"/>
          <w:highlight w:val="none"/>
        </w:rPr>
        <w:t>万元，占</w:t>
      </w:r>
      <w:r>
        <w:rPr>
          <w:rFonts w:hint="eastAsia" w:ascii="TimesNewRoman" w:hAnsi="TimesNewRoman" w:eastAsia="仿宋_GB2312" w:cs="TimesNewRoman"/>
          <w:kern w:val="0"/>
          <w:sz w:val="32"/>
          <w:szCs w:val="32"/>
          <w:highlight w:val="none"/>
          <w:lang w:val="en-US" w:eastAsia="zh-CN"/>
        </w:rPr>
        <w:t>67.40</w:t>
      </w:r>
      <w:r>
        <w:rPr>
          <w:rFonts w:hint="eastAsia" w:ascii="TimesNewRoman" w:hAnsi="TimesNewRoman" w:eastAsia="仿宋_GB2312" w:cs="TimesNewRoman"/>
          <w:kern w:val="0"/>
          <w:sz w:val="32"/>
          <w:szCs w:val="32"/>
          <w:highlight w:val="none"/>
        </w:rPr>
        <w:t>%；社会保障和就业支出</w:t>
      </w:r>
      <w:r>
        <w:rPr>
          <w:rFonts w:hint="eastAsia" w:ascii="TimesNewRoman" w:hAnsi="TimesNewRoman" w:eastAsia="仿宋_GB2312" w:cs="TimesNewRoman"/>
          <w:kern w:val="0"/>
          <w:sz w:val="32"/>
          <w:szCs w:val="32"/>
          <w:highlight w:val="none"/>
          <w:lang w:val="en-US" w:eastAsia="zh-CN"/>
        </w:rPr>
        <w:t>286.33</w:t>
      </w:r>
      <w:r>
        <w:rPr>
          <w:rFonts w:hint="eastAsia" w:ascii="TimesNewRoman" w:hAnsi="TimesNewRoman" w:eastAsia="仿宋_GB2312" w:cs="TimesNewRoman"/>
          <w:kern w:val="0"/>
          <w:sz w:val="32"/>
          <w:szCs w:val="32"/>
          <w:highlight w:val="none"/>
        </w:rPr>
        <w:t>万元，占</w:t>
      </w:r>
      <w:r>
        <w:rPr>
          <w:rFonts w:hint="eastAsia" w:ascii="TimesNewRoman" w:hAnsi="TimesNewRoman" w:eastAsia="仿宋_GB2312" w:cs="TimesNewRoman"/>
          <w:kern w:val="0"/>
          <w:sz w:val="32"/>
          <w:szCs w:val="32"/>
          <w:highlight w:val="none"/>
          <w:lang w:val="en-US" w:eastAsia="zh-CN"/>
        </w:rPr>
        <w:t>18.54</w:t>
      </w:r>
      <w:r>
        <w:rPr>
          <w:rFonts w:hint="eastAsia" w:ascii="TimesNewRoman" w:hAnsi="TimesNewRoman" w:eastAsia="仿宋_GB2312" w:cs="TimesNewRoman"/>
          <w:kern w:val="0"/>
          <w:sz w:val="32"/>
          <w:szCs w:val="32"/>
          <w:highlight w:val="none"/>
        </w:rPr>
        <w:t>%；卫生健康支出</w:t>
      </w:r>
      <w:r>
        <w:rPr>
          <w:rFonts w:hint="eastAsia" w:ascii="TimesNewRoman" w:hAnsi="TimesNewRoman" w:eastAsia="仿宋_GB2312" w:cs="TimesNewRoman"/>
          <w:kern w:val="0"/>
          <w:sz w:val="32"/>
          <w:szCs w:val="32"/>
          <w:highlight w:val="none"/>
          <w:lang w:val="en-US" w:eastAsia="zh-CN"/>
        </w:rPr>
        <w:t>51.06</w:t>
      </w:r>
      <w:r>
        <w:rPr>
          <w:rFonts w:hint="eastAsia" w:ascii="TimesNewRoman" w:hAnsi="TimesNewRoman" w:eastAsia="仿宋_GB2312" w:cs="TimesNewRoman"/>
          <w:kern w:val="0"/>
          <w:sz w:val="32"/>
          <w:szCs w:val="32"/>
          <w:highlight w:val="none"/>
        </w:rPr>
        <w:t>万元，占</w:t>
      </w:r>
      <w:r>
        <w:rPr>
          <w:rFonts w:hint="eastAsia" w:ascii="TimesNewRoman" w:hAnsi="TimesNewRoman" w:eastAsia="仿宋_GB2312" w:cs="TimesNewRoman"/>
          <w:kern w:val="0"/>
          <w:sz w:val="32"/>
          <w:szCs w:val="32"/>
          <w:highlight w:val="none"/>
          <w:lang w:val="en-US" w:eastAsia="zh-CN"/>
        </w:rPr>
        <w:t>3.31</w:t>
      </w:r>
      <w:r>
        <w:rPr>
          <w:rFonts w:hint="eastAsia" w:ascii="TimesNewRoman" w:hAnsi="TimesNewRoman" w:eastAsia="仿宋_GB2312" w:cs="TimesNewRoman"/>
          <w:kern w:val="0"/>
          <w:sz w:val="32"/>
          <w:szCs w:val="32"/>
          <w:highlight w:val="none"/>
        </w:rPr>
        <w:t>%；住房保障支出</w:t>
      </w:r>
      <w:r>
        <w:rPr>
          <w:rFonts w:hint="eastAsia" w:ascii="TimesNewRoman" w:hAnsi="TimesNewRoman" w:eastAsia="仿宋_GB2312" w:cs="TimesNewRoman"/>
          <w:kern w:val="0"/>
          <w:sz w:val="32"/>
          <w:szCs w:val="32"/>
          <w:highlight w:val="none"/>
          <w:lang w:val="en-US" w:eastAsia="zh-CN"/>
        </w:rPr>
        <w:t>166.16</w:t>
      </w:r>
      <w:r>
        <w:rPr>
          <w:rFonts w:hint="eastAsia" w:ascii="TimesNewRoman" w:hAnsi="TimesNewRoman" w:eastAsia="仿宋_GB2312" w:cs="TimesNewRoman"/>
          <w:kern w:val="0"/>
          <w:sz w:val="32"/>
          <w:szCs w:val="32"/>
          <w:highlight w:val="none"/>
        </w:rPr>
        <w:t>万元，占</w:t>
      </w:r>
      <w:r>
        <w:rPr>
          <w:rFonts w:hint="eastAsia" w:ascii="TimesNewRoman" w:hAnsi="TimesNewRoman" w:eastAsia="仿宋_GB2312" w:cs="TimesNewRoman"/>
          <w:kern w:val="0"/>
          <w:sz w:val="32"/>
          <w:szCs w:val="32"/>
          <w:highlight w:val="none"/>
          <w:lang w:val="en-US" w:eastAsia="zh-CN"/>
        </w:rPr>
        <w:t>10.75</w:t>
      </w:r>
      <w:r>
        <w:rPr>
          <w:rFonts w:hint="eastAsia" w:ascii="TimesNewRoman" w:hAnsi="TimesNewRoman" w:eastAsia="仿宋_GB2312" w:cs="TimesNewRoman"/>
          <w:kern w:val="0"/>
          <w:sz w:val="32"/>
          <w:szCs w:val="32"/>
          <w:highlight w:val="none"/>
        </w:rPr>
        <w:t>%。</w:t>
      </w:r>
    </w:p>
    <w:p>
      <w:pPr>
        <w:pStyle w:val="7"/>
        <w:adjustRightInd w:val="0"/>
        <w:snapToGrid w:val="0"/>
        <w:spacing w:line="560" w:lineRule="exact"/>
        <w:ind w:firstLine="627" w:firstLineChars="196"/>
        <w:rPr>
          <w:rFonts w:ascii="TimesNewRoman" w:hAnsi="TimesNewRoman" w:eastAsia="黑体" w:cs="TimesNewRoman"/>
          <w:bCs/>
          <w:sz w:val="32"/>
          <w:szCs w:val="32"/>
          <w:highlight w:val="none"/>
        </w:rPr>
      </w:pPr>
      <w:r>
        <w:rPr>
          <w:rFonts w:hint="eastAsia" w:ascii="TimesNewRoman" w:hAnsi="TimesNewRoman" w:eastAsia="黑体" w:cs="TimesNewRoman"/>
          <w:bCs/>
          <w:sz w:val="32"/>
          <w:szCs w:val="32"/>
          <w:highlight w:val="none"/>
        </w:rPr>
        <w:t>五、关于2025年一般公共预算支出表的说明</w:t>
      </w:r>
    </w:p>
    <w:p>
      <w:pPr>
        <w:pStyle w:val="7"/>
        <w:adjustRightInd w:val="0"/>
        <w:snapToGrid w:val="0"/>
        <w:spacing w:line="560" w:lineRule="exact"/>
        <w:ind w:firstLine="630" w:firstLineChars="196"/>
        <w:rPr>
          <w:rFonts w:ascii="TimesNewRoman" w:hAnsi="TimesNewRoman" w:eastAsia="楷体_GB2312" w:cs="TimesNewRoman"/>
          <w:b/>
          <w:sz w:val="32"/>
          <w:szCs w:val="32"/>
          <w:highlight w:val="none"/>
        </w:rPr>
      </w:pPr>
      <w:r>
        <w:rPr>
          <w:rFonts w:hint="eastAsia" w:ascii="TimesNewRoman" w:hAnsi="TimesNewRoman" w:eastAsia="楷体_GB2312" w:cs="TimesNewRoman"/>
          <w:b/>
          <w:sz w:val="32"/>
          <w:szCs w:val="32"/>
          <w:highlight w:val="none"/>
        </w:rPr>
        <w:t>（一）一般公共预算支出规模变化情况。</w:t>
      </w: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lang w:eastAsia="zh-CN"/>
        </w:rPr>
        <w:t>淮北市商务局</w:t>
      </w:r>
      <w:r>
        <w:rPr>
          <w:rFonts w:hint="eastAsia" w:ascii="TimesNewRoman" w:hAnsi="TimesNewRoman" w:eastAsia="仿宋_GB2312" w:cs="TimesNewRoman"/>
          <w:kern w:val="0"/>
          <w:sz w:val="32"/>
          <w:szCs w:val="32"/>
          <w:highlight w:val="none"/>
        </w:rPr>
        <w:t>2025年一般公共预算支出</w:t>
      </w:r>
      <w:r>
        <w:rPr>
          <w:rFonts w:hint="eastAsia" w:ascii="TimesNewRoman" w:hAnsi="TimesNewRoman" w:eastAsia="仿宋_GB2312" w:cs="TimesNewRoman"/>
          <w:kern w:val="0"/>
          <w:sz w:val="32"/>
          <w:szCs w:val="32"/>
          <w:highlight w:val="none"/>
          <w:lang w:val="en-US" w:eastAsia="zh-CN"/>
        </w:rPr>
        <w:t>1544.51</w:t>
      </w:r>
      <w:r>
        <w:rPr>
          <w:rFonts w:hint="eastAsia" w:ascii="TimesNewRoman" w:hAnsi="TimesNewRoman" w:eastAsia="仿宋_GB2312" w:cs="TimesNewRoman"/>
          <w:kern w:val="0"/>
          <w:sz w:val="32"/>
          <w:szCs w:val="32"/>
          <w:highlight w:val="none"/>
        </w:rPr>
        <w:t>万元，比2024年预算减少</w:t>
      </w:r>
      <w:r>
        <w:rPr>
          <w:rFonts w:hint="eastAsia" w:ascii="TimesNewRoman" w:hAnsi="TimesNewRoman" w:eastAsia="仿宋_GB2312" w:cs="TimesNewRoman"/>
          <w:kern w:val="0"/>
          <w:sz w:val="32"/>
          <w:szCs w:val="32"/>
          <w:highlight w:val="none"/>
          <w:lang w:val="en-US" w:eastAsia="zh-CN"/>
        </w:rPr>
        <w:t>200.48</w:t>
      </w:r>
      <w:r>
        <w:rPr>
          <w:rFonts w:hint="eastAsia" w:ascii="TimesNewRoman" w:hAnsi="TimesNewRoman" w:eastAsia="仿宋_GB2312" w:cs="TimesNewRoman"/>
          <w:kern w:val="0"/>
          <w:sz w:val="32"/>
          <w:szCs w:val="32"/>
          <w:highlight w:val="none"/>
        </w:rPr>
        <w:t>万元，下降</w:t>
      </w:r>
      <w:r>
        <w:rPr>
          <w:rFonts w:hint="eastAsia" w:ascii="TimesNewRoman" w:hAnsi="TimesNewRoman" w:eastAsia="仿宋_GB2312" w:cs="TimesNewRoman"/>
          <w:kern w:val="0"/>
          <w:sz w:val="32"/>
          <w:szCs w:val="32"/>
          <w:highlight w:val="none"/>
          <w:lang w:val="en-US" w:eastAsia="zh-CN"/>
        </w:rPr>
        <w:t>11.49</w:t>
      </w:r>
      <w:r>
        <w:rPr>
          <w:rFonts w:hint="eastAsia" w:ascii="TimesNewRoman" w:hAnsi="TimesNewRoman" w:eastAsia="仿宋_GB2312" w:cs="TimesNewRoman"/>
          <w:kern w:val="0"/>
          <w:sz w:val="32"/>
          <w:szCs w:val="32"/>
          <w:highlight w:val="none"/>
        </w:rPr>
        <w:t>%，原因主要是人员支出拨款减少</w:t>
      </w:r>
      <w:r>
        <w:rPr>
          <w:rFonts w:hint="eastAsia" w:ascii="TimesNewRoman" w:hAnsi="TimesNewRoman" w:eastAsia="仿宋_GB2312" w:cs="TimesNewRoman"/>
          <w:kern w:val="0"/>
          <w:sz w:val="32"/>
          <w:szCs w:val="32"/>
          <w:highlight w:val="none"/>
          <w:lang w:val="en-US" w:eastAsia="zh-CN"/>
        </w:rPr>
        <w:t>74.47</w:t>
      </w:r>
      <w:r>
        <w:rPr>
          <w:rFonts w:hint="eastAsia" w:ascii="TimesNewRoman" w:hAnsi="TimesNewRoman" w:eastAsia="仿宋_GB2312" w:cs="TimesNewRoman"/>
          <w:kern w:val="0"/>
          <w:sz w:val="32"/>
          <w:szCs w:val="32"/>
          <w:highlight w:val="none"/>
        </w:rPr>
        <w:t>万元、公用支出拨款</w:t>
      </w:r>
      <w:r>
        <w:rPr>
          <w:rFonts w:hint="eastAsia" w:ascii="TimesNewRoman" w:hAnsi="TimesNewRoman" w:eastAsia="仿宋_GB2312" w:cs="TimesNewRoman"/>
          <w:kern w:val="0"/>
          <w:sz w:val="32"/>
          <w:szCs w:val="32"/>
          <w:highlight w:val="none"/>
          <w:lang w:val="en-US" w:eastAsia="zh-CN"/>
        </w:rPr>
        <w:t>增加26.71</w:t>
      </w:r>
      <w:r>
        <w:rPr>
          <w:rFonts w:hint="eastAsia" w:ascii="TimesNewRoman" w:hAnsi="TimesNewRoman" w:eastAsia="仿宋_GB2312" w:cs="TimesNewRoman"/>
          <w:kern w:val="0"/>
          <w:sz w:val="32"/>
          <w:szCs w:val="32"/>
          <w:highlight w:val="none"/>
        </w:rPr>
        <w:t>万元、项目支出拨款</w:t>
      </w:r>
      <w:r>
        <w:rPr>
          <w:rFonts w:hint="eastAsia" w:ascii="TimesNewRoman" w:hAnsi="TimesNewRoman" w:eastAsia="仿宋_GB2312" w:cs="TimesNewRoman"/>
          <w:kern w:val="0"/>
          <w:sz w:val="32"/>
          <w:szCs w:val="32"/>
          <w:highlight w:val="none"/>
          <w:lang w:val="en-US" w:eastAsia="zh-CN"/>
        </w:rPr>
        <w:t>减少152.73</w:t>
      </w:r>
      <w:r>
        <w:rPr>
          <w:rFonts w:hint="eastAsia" w:ascii="TimesNewRoman" w:hAnsi="TimesNewRoman" w:eastAsia="仿宋_GB2312" w:cs="TimesNewRoman"/>
          <w:kern w:val="0"/>
          <w:sz w:val="32"/>
          <w:szCs w:val="32"/>
          <w:highlight w:val="none"/>
        </w:rPr>
        <w:t>万元。</w:t>
      </w:r>
    </w:p>
    <w:p>
      <w:pPr>
        <w:pStyle w:val="7"/>
        <w:adjustRightInd w:val="0"/>
        <w:snapToGrid w:val="0"/>
        <w:spacing w:line="560" w:lineRule="exact"/>
        <w:ind w:firstLine="630" w:firstLineChars="196"/>
        <w:rPr>
          <w:rFonts w:ascii="TimesNewRoman" w:hAnsi="TimesNewRoman" w:eastAsia="楷体_GB2312" w:cs="TimesNewRoman"/>
          <w:b/>
          <w:sz w:val="32"/>
          <w:szCs w:val="32"/>
          <w:highlight w:val="none"/>
        </w:rPr>
      </w:pPr>
      <w:r>
        <w:rPr>
          <w:rFonts w:hint="eastAsia" w:ascii="TimesNewRoman" w:hAnsi="TimesNewRoman" w:eastAsia="楷体_GB2312" w:cs="TimesNewRoman"/>
          <w:b/>
          <w:sz w:val="32"/>
          <w:szCs w:val="32"/>
          <w:highlight w:val="none"/>
        </w:rPr>
        <w:t>（二）一般公共预算支出结构情况。</w:t>
      </w: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rPr>
        <w:t>一般公共服务支出</w:t>
      </w:r>
      <w:r>
        <w:rPr>
          <w:rFonts w:hint="eastAsia" w:ascii="TimesNewRoman" w:hAnsi="TimesNewRoman" w:eastAsia="仿宋_GB2312" w:cs="TimesNewRoman"/>
          <w:kern w:val="0"/>
          <w:sz w:val="32"/>
          <w:szCs w:val="32"/>
          <w:highlight w:val="none"/>
          <w:lang w:val="en-US" w:eastAsia="zh-CN"/>
        </w:rPr>
        <w:t>1040.96</w:t>
      </w:r>
      <w:r>
        <w:rPr>
          <w:rFonts w:hint="eastAsia" w:ascii="TimesNewRoman" w:hAnsi="TimesNewRoman" w:eastAsia="仿宋_GB2312" w:cs="TimesNewRoman"/>
          <w:kern w:val="0"/>
          <w:sz w:val="32"/>
          <w:szCs w:val="32"/>
          <w:highlight w:val="none"/>
        </w:rPr>
        <w:t>万元，占</w:t>
      </w:r>
      <w:r>
        <w:rPr>
          <w:rFonts w:hint="eastAsia" w:ascii="TimesNewRoman" w:hAnsi="TimesNewRoman" w:eastAsia="仿宋_GB2312" w:cs="TimesNewRoman"/>
          <w:kern w:val="0"/>
          <w:sz w:val="32"/>
          <w:szCs w:val="32"/>
          <w:highlight w:val="none"/>
          <w:lang w:val="en-US" w:eastAsia="zh-CN"/>
        </w:rPr>
        <w:t>67.40</w:t>
      </w:r>
      <w:r>
        <w:rPr>
          <w:rFonts w:hint="eastAsia" w:ascii="TimesNewRoman" w:hAnsi="TimesNewRoman" w:eastAsia="仿宋_GB2312" w:cs="TimesNewRoman"/>
          <w:kern w:val="0"/>
          <w:sz w:val="32"/>
          <w:szCs w:val="32"/>
          <w:highlight w:val="none"/>
        </w:rPr>
        <w:t>%；社会保障和就业支出</w:t>
      </w:r>
      <w:r>
        <w:rPr>
          <w:rFonts w:hint="eastAsia" w:ascii="TimesNewRoman" w:hAnsi="TimesNewRoman" w:eastAsia="仿宋_GB2312" w:cs="TimesNewRoman"/>
          <w:kern w:val="0"/>
          <w:sz w:val="32"/>
          <w:szCs w:val="32"/>
          <w:highlight w:val="none"/>
          <w:lang w:val="en-US" w:eastAsia="zh-CN"/>
        </w:rPr>
        <w:t>286.33</w:t>
      </w:r>
      <w:r>
        <w:rPr>
          <w:rFonts w:hint="eastAsia" w:ascii="TimesNewRoman" w:hAnsi="TimesNewRoman" w:eastAsia="仿宋_GB2312" w:cs="TimesNewRoman"/>
          <w:kern w:val="0"/>
          <w:sz w:val="32"/>
          <w:szCs w:val="32"/>
          <w:highlight w:val="none"/>
        </w:rPr>
        <w:t>万元，占</w:t>
      </w:r>
      <w:r>
        <w:rPr>
          <w:rFonts w:hint="eastAsia" w:ascii="TimesNewRoman" w:hAnsi="TimesNewRoman" w:eastAsia="仿宋_GB2312" w:cs="TimesNewRoman"/>
          <w:kern w:val="0"/>
          <w:sz w:val="32"/>
          <w:szCs w:val="32"/>
          <w:highlight w:val="none"/>
          <w:lang w:val="en-US" w:eastAsia="zh-CN"/>
        </w:rPr>
        <w:t>18.54</w:t>
      </w:r>
      <w:r>
        <w:rPr>
          <w:rFonts w:hint="eastAsia" w:ascii="TimesNewRoman" w:hAnsi="TimesNewRoman" w:eastAsia="仿宋_GB2312" w:cs="TimesNewRoman"/>
          <w:kern w:val="0"/>
          <w:sz w:val="32"/>
          <w:szCs w:val="32"/>
          <w:highlight w:val="none"/>
        </w:rPr>
        <w:t>%；卫生健康支出</w:t>
      </w:r>
      <w:r>
        <w:rPr>
          <w:rFonts w:hint="eastAsia" w:ascii="TimesNewRoman" w:hAnsi="TimesNewRoman" w:eastAsia="仿宋_GB2312" w:cs="TimesNewRoman"/>
          <w:kern w:val="0"/>
          <w:sz w:val="32"/>
          <w:szCs w:val="32"/>
          <w:highlight w:val="none"/>
          <w:lang w:val="en-US" w:eastAsia="zh-CN"/>
        </w:rPr>
        <w:t>51.06</w:t>
      </w:r>
      <w:r>
        <w:rPr>
          <w:rFonts w:hint="eastAsia" w:ascii="TimesNewRoman" w:hAnsi="TimesNewRoman" w:eastAsia="仿宋_GB2312" w:cs="TimesNewRoman"/>
          <w:kern w:val="0"/>
          <w:sz w:val="32"/>
          <w:szCs w:val="32"/>
          <w:highlight w:val="none"/>
        </w:rPr>
        <w:t>万元，占</w:t>
      </w:r>
      <w:r>
        <w:rPr>
          <w:rFonts w:hint="eastAsia" w:ascii="TimesNewRoman" w:hAnsi="TimesNewRoman" w:eastAsia="仿宋_GB2312" w:cs="TimesNewRoman"/>
          <w:kern w:val="0"/>
          <w:sz w:val="32"/>
          <w:szCs w:val="32"/>
          <w:highlight w:val="none"/>
          <w:lang w:val="en-US" w:eastAsia="zh-CN"/>
        </w:rPr>
        <w:t>3.31</w:t>
      </w:r>
      <w:r>
        <w:rPr>
          <w:rFonts w:hint="eastAsia" w:ascii="TimesNewRoman" w:hAnsi="TimesNewRoman" w:eastAsia="仿宋_GB2312" w:cs="TimesNewRoman"/>
          <w:kern w:val="0"/>
          <w:sz w:val="32"/>
          <w:szCs w:val="32"/>
          <w:highlight w:val="none"/>
        </w:rPr>
        <w:t>%；住房保障支出</w:t>
      </w:r>
      <w:r>
        <w:rPr>
          <w:rFonts w:hint="eastAsia" w:ascii="TimesNewRoman" w:hAnsi="TimesNewRoman" w:eastAsia="仿宋_GB2312" w:cs="TimesNewRoman"/>
          <w:kern w:val="0"/>
          <w:sz w:val="32"/>
          <w:szCs w:val="32"/>
          <w:highlight w:val="none"/>
          <w:lang w:val="en-US" w:eastAsia="zh-CN"/>
        </w:rPr>
        <w:t>166.16</w:t>
      </w:r>
      <w:r>
        <w:rPr>
          <w:rFonts w:hint="eastAsia" w:ascii="TimesNewRoman" w:hAnsi="TimesNewRoman" w:eastAsia="仿宋_GB2312" w:cs="TimesNewRoman"/>
          <w:kern w:val="0"/>
          <w:sz w:val="32"/>
          <w:szCs w:val="32"/>
          <w:highlight w:val="none"/>
        </w:rPr>
        <w:t>万元，占</w:t>
      </w:r>
      <w:r>
        <w:rPr>
          <w:rFonts w:hint="eastAsia" w:ascii="TimesNewRoman" w:hAnsi="TimesNewRoman" w:eastAsia="仿宋_GB2312" w:cs="TimesNewRoman"/>
          <w:kern w:val="0"/>
          <w:sz w:val="32"/>
          <w:szCs w:val="32"/>
          <w:highlight w:val="none"/>
          <w:lang w:val="en-US" w:eastAsia="zh-CN"/>
        </w:rPr>
        <w:t>10.75</w:t>
      </w:r>
      <w:r>
        <w:rPr>
          <w:rFonts w:hint="eastAsia" w:ascii="TimesNewRoman" w:hAnsi="TimesNewRoman" w:eastAsia="仿宋_GB2312" w:cs="TimesNewRoman"/>
          <w:kern w:val="0"/>
          <w:sz w:val="32"/>
          <w:szCs w:val="32"/>
          <w:highlight w:val="none"/>
        </w:rPr>
        <w:t>%。</w:t>
      </w:r>
    </w:p>
    <w:p>
      <w:pPr>
        <w:pStyle w:val="7"/>
        <w:adjustRightInd w:val="0"/>
        <w:snapToGrid w:val="0"/>
        <w:spacing w:line="560" w:lineRule="exact"/>
        <w:ind w:firstLine="630" w:firstLineChars="196"/>
        <w:rPr>
          <w:rFonts w:ascii="TimesNewRoman" w:hAnsi="TimesNewRoman" w:eastAsia="楷体_GB2312" w:cs="TimesNewRoman"/>
          <w:b/>
          <w:sz w:val="32"/>
          <w:szCs w:val="32"/>
          <w:highlight w:val="none"/>
        </w:rPr>
      </w:pPr>
      <w:r>
        <w:rPr>
          <w:rFonts w:hint="eastAsia" w:ascii="TimesNewRoman" w:hAnsi="TimesNewRoman" w:eastAsia="楷体_GB2312" w:cs="TimesNewRoman"/>
          <w:b/>
          <w:sz w:val="32"/>
          <w:szCs w:val="32"/>
          <w:highlight w:val="none"/>
        </w:rPr>
        <w:t>（三）一般公共预算支出具体使用情况。</w:t>
      </w: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rPr>
        <w:t>1、一般公共服务支出（类）商贸事务（款）行政运行（项）2025年预算</w:t>
      </w:r>
      <w:r>
        <w:rPr>
          <w:rFonts w:hint="eastAsia" w:ascii="TimesNewRoman" w:hAnsi="TimesNewRoman" w:eastAsia="仿宋_GB2312" w:cs="TimesNewRoman"/>
          <w:kern w:val="0"/>
          <w:sz w:val="32"/>
          <w:szCs w:val="32"/>
          <w:highlight w:val="none"/>
          <w:lang w:val="en-US" w:eastAsia="zh-CN"/>
        </w:rPr>
        <w:t>400.55</w:t>
      </w:r>
      <w:r>
        <w:rPr>
          <w:rFonts w:hint="eastAsia" w:ascii="TimesNewRoman" w:hAnsi="TimesNewRoman" w:eastAsia="仿宋_GB2312" w:cs="TimesNewRoman"/>
          <w:kern w:val="0"/>
          <w:sz w:val="32"/>
          <w:szCs w:val="32"/>
          <w:highlight w:val="none"/>
        </w:rPr>
        <w:t>万元，比2024年预算减少</w:t>
      </w:r>
      <w:r>
        <w:rPr>
          <w:rFonts w:hint="eastAsia" w:ascii="TimesNewRoman" w:hAnsi="TimesNewRoman" w:eastAsia="仿宋_GB2312" w:cs="TimesNewRoman"/>
          <w:kern w:val="0"/>
          <w:sz w:val="32"/>
          <w:szCs w:val="32"/>
          <w:highlight w:val="none"/>
          <w:lang w:val="en-US" w:eastAsia="zh-CN"/>
        </w:rPr>
        <w:t>3.29</w:t>
      </w:r>
      <w:r>
        <w:rPr>
          <w:rFonts w:hint="eastAsia" w:ascii="TimesNewRoman" w:hAnsi="TimesNewRoman" w:eastAsia="仿宋_GB2312" w:cs="TimesNewRoman"/>
          <w:kern w:val="0"/>
          <w:sz w:val="32"/>
          <w:szCs w:val="32"/>
          <w:highlight w:val="none"/>
        </w:rPr>
        <w:t>万元，下降</w:t>
      </w:r>
      <w:r>
        <w:rPr>
          <w:rFonts w:hint="eastAsia" w:ascii="TimesNewRoman" w:hAnsi="TimesNewRoman" w:eastAsia="仿宋_GB2312" w:cs="TimesNewRoman"/>
          <w:kern w:val="0"/>
          <w:sz w:val="32"/>
          <w:szCs w:val="32"/>
          <w:highlight w:val="none"/>
          <w:lang w:val="en-US" w:eastAsia="zh-CN"/>
        </w:rPr>
        <w:t>0.81</w:t>
      </w:r>
      <w:r>
        <w:rPr>
          <w:rFonts w:hint="eastAsia" w:ascii="TimesNewRoman" w:hAnsi="TimesNewRoman" w:eastAsia="仿宋_GB2312" w:cs="TimesNewRoman"/>
          <w:kern w:val="0"/>
          <w:sz w:val="32"/>
          <w:szCs w:val="32"/>
          <w:highlight w:val="none"/>
        </w:rPr>
        <w:t>%，原因主要是</w:t>
      </w:r>
      <w:r>
        <w:rPr>
          <w:rFonts w:hint="eastAsia" w:ascii="TimesNewRoman" w:hAnsi="TimesNewRoman" w:eastAsia="仿宋_GB2312" w:cs="TimesNewRoman"/>
          <w:kern w:val="0"/>
          <w:sz w:val="32"/>
          <w:szCs w:val="32"/>
          <w:highlight w:val="none"/>
          <w:lang w:val="en-US" w:eastAsia="zh-CN"/>
        </w:rPr>
        <w:t>在职人员减少</w:t>
      </w:r>
      <w:r>
        <w:rPr>
          <w:rFonts w:hint="eastAsia" w:ascii="TimesNewRoman" w:hAnsi="TimesNewRoman" w:eastAsia="仿宋_GB2312" w:cs="TimesNewRoman"/>
          <w:kern w:val="0"/>
          <w:sz w:val="32"/>
          <w:szCs w:val="32"/>
          <w:highlight w:val="none"/>
        </w:rPr>
        <w:t>。</w:t>
      </w: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rPr>
        <w:t>2、一般公共服务支出（类）商贸事务（款）一般行政管理事务（项）2025年预算</w:t>
      </w:r>
      <w:r>
        <w:rPr>
          <w:rFonts w:hint="eastAsia" w:ascii="TimesNewRoman" w:hAnsi="TimesNewRoman" w:eastAsia="仿宋_GB2312" w:cs="TimesNewRoman"/>
          <w:kern w:val="0"/>
          <w:sz w:val="32"/>
          <w:szCs w:val="32"/>
          <w:highlight w:val="none"/>
          <w:lang w:val="en-US" w:eastAsia="zh-CN"/>
        </w:rPr>
        <w:t>318</w:t>
      </w:r>
      <w:r>
        <w:rPr>
          <w:rFonts w:hint="eastAsia" w:ascii="TimesNewRoman" w:hAnsi="TimesNewRoman" w:eastAsia="仿宋_GB2312" w:cs="TimesNewRoman"/>
          <w:kern w:val="0"/>
          <w:sz w:val="32"/>
          <w:szCs w:val="32"/>
          <w:highlight w:val="none"/>
        </w:rPr>
        <w:t>万元，比2024年预算增加</w:t>
      </w:r>
      <w:r>
        <w:rPr>
          <w:rFonts w:hint="eastAsia" w:ascii="TimesNewRoman" w:hAnsi="TimesNewRoman" w:eastAsia="仿宋_GB2312" w:cs="TimesNewRoman"/>
          <w:kern w:val="0"/>
          <w:sz w:val="32"/>
          <w:szCs w:val="32"/>
          <w:highlight w:val="none"/>
          <w:lang w:val="en-US" w:eastAsia="zh-CN"/>
        </w:rPr>
        <w:t>255</w:t>
      </w:r>
      <w:r>
        <w:rPr>
          <w:rFonts w:hint="eastAsia" w:ascii="TimesNewRoman" w:hAnsi="TimesNewRoman" w:eastAsia="仿宋_GB2312" w:cs="TimesNewRoman"/>
          <w:kern w:val="0"/>
          <w:sz w:val="32"/>
          <w:szCs w:val="32"/>
          <w:highlight w:val="none"/>
        </w:rPr>
        <w:t>万元，增长</w:t>
      </w:r>
      <w:r>
        <w:rPr>
          <w:rFonts w:hint="eastAsia" w:ascii="TimesNewRoman" w:hAnsi="TimesNewRoman" w:eastAsia="仿宋_GB2312" w:cs="TimesNewRoman"/>
          <w:kern w:val="0"/>
          <w:sz w:val="32"/>
          <w:szCs w:val="32"/>
          <w:highlight w:val="none"/>
          <w:lang w:val="en-US" w:eastAsia="zh-CN"/>
        </w:rPr>
        <w:t>404.76</w:t>
      </w:r>
      <w:r>
        <w:rPr>
          <w:rFonts w:hint="eastAsia" w:ascii="TimesNewRoman" w:hAnsi="TimesNewRoman" w:eastAsia="仿宋_GB2312" w:cs="TimesNewRoman"/>
          <w:kern w:val="0"/>
          <w:sz w:val="32"/>
          <w:szCs w:val="32"/>
          <w:highlight w:val="none"/>
        </w:rPr>
        <w:t>%，原因主要是</w:t>
      </w:r>
      <w:r>
        <w:rPr>
          <w:rFonts w:hint="eastAsia" w:ascii="TimesNewRoman" w:hAnsi="TimesNewRoman" w:eastAsia="仿宋_GB2312" w:cs="TimesNewRoman"/>
          <w:kern w:val="0"/>
          <w:sz w:val="32"/>
          <w:szCs w:val="32"/>
          <w:highlight w:val="none"/>
          <w:lang w:val="en-US" w:eastAsia="zh-CN"/>
        </w:rPr>
        <w:t>项目支出科目更改</w:t>
      </w:r>
      <w:r>
        <w:rPr>
          <w:rFonts w:hint="eastAsia" w:ascii="TimesNewRoman" w:hAnsi="TimesNewRoman" w:eastAsia="仿宋_GB2312" w:cs="TimesNewRoman"/>
          <w:kern w:val="0"/>
          <w:sz w:val="32"/>
          <w:szCs w:val="32"/>
          <w:highlight w:val="none"/>
        </w:rPr>
        <w:t>。</w:t>
      </w: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rPr>
        <w:t>3、一般公共服务支出（类）商贸事务（款）事业运行（项）2025年预算</w:t>
      </w:r>
      <w:r>
        <w:rPr>
          <w:rFonts w:hint="eastAsia" w:ascii="TimesNewRoman" w:hAnsi="TimesNewRoman" w:eastAsia="仿宋_GB2312" w:cs="TimesNewRoman"/>
          <w:kern w:val="0"/>
          <w:sz w:val="32"/>
          <w:szCs w:val="32"/>
          <w:highlight w:val="none"/>
          <w:lang w:val="en-US" w:eastAsia="zh-CN"/>
        </w:rPr>
        <w:t>322.41</w:t>
      </w:r>
      <w:r>
        <w:rPr>
          <w:rFonts w:hint="eastAsia" w:ascii="TimesNewRoman" w:hAnsi="TimesNewRoman" w:eastAsia="仿宋_GB2312" w:cs="TimesNewRoman"/>
          <w:kern w:val="0"/>
          <w:sz w:val="32"/>
          <w:szCs w:val="32"/>
          <w:highlight w:val="none"/>
        </w:rPr>
        <w:t>万元，比2024年预算减少</w:t>
      </w:r>
      <w:r>
        <w:rPr>
          <w:rFonts w:hint="eastAsia" w:ascii="TimesNewRoman" w:hAnsi="TimesNewRoman" w:eastAsia="仿宋_GB2312" w:cs="TimesNewRoman"/>
          <w:kern w:val="0"/>
          <w:sz w:val="32"/>
          <w:szCs w:val="32"/>
          <w:highlight w:val="none"/>
          <w:lang w:val="en-US" w:eastAsia="zh-CN"/>
        </w:rPr>
        <w:t>17.24</w:t>
      </w:r>
      <w:r>
        <w:rPr>
          <w:rFonts w:hint="eastAsia" w:ascii="TimesNewRoman" w:hAnsi="TimesNewRoman" w:eastAsia="仿宋_GB2312" w:cs="TimesNewRoman"/>
          <w:kern w:val="0"/>
          <w:sz w:val="32"/>
          <w:szCs w:val="32"/>
          <w:highlight w:val="none"/>
        </w:rPr>
        <w:t>万元，下降</w:t>
      </w:r>
      <w:r>
        <w:rPr>
          <w:rFonts w:hint="eastAsia" w:ascii="TimesNewRoman" w:hAnsi="TimesNewRoman" w:eastAsia="仿宋_GB2312" w:cs="TimesNewRoman"/>
          <w:kern w:val="0"/>
          <w:sz w:val="32"/>
          <w:szCs w:val="32"/>
          <w:highlight w:val="none"/>
          <w:lang w:val="en-US" w:eastAsia="zh-CN"/>
        </w:rPr>
        <w:t>5.08</w:t>
      </w:r>
      <w:r>
        <w:rPr>
          <w:rFonts w:hint="eastAsia" w:ascii="TimesNewRoman" w:hAnsi="TimesNewRoman" w:eastAsia="仿宋_GB2312" w:cs="TimesNewRoman"/>
          <w:kern w:val="0"/>
          <w:sz w:val="32"/>
          <w:szCs w:val="32"/>
          <w:highlight w:val="none"/>
        </w:rPr>
        <w:t>%，</w:t>
      </w:r>
      <w:r>
        <w:rPr>
          <w:rFonts w:hint="eastAsia" w:ascii="TimesNewRoman" w:hAnsi="TimesNewRoman" w:eastAsia="仿宋_GB2312" w:cs="TimesNewRoman"/>
          <w:kern w:val="0"/>
          <w:sz w:val="32"/>
          <w:szCs w:val="32"/>
          <w:highlight w:val="none"/>
        </w:rPr>
        <w:t>原因主要</w:t>
      </w:r>
      <w:r>
        <w:rPr>
          <w:rFonts w:hint="eastAsia" w:ascii="TimesNewRoman" w:hAnsi="TimesNewRoman" w:eastAsia="仿宋_GB2312" w:cs="TimesNewRoman"/>
          <w:kern w:val="0"/>
          <w:sz w:val="32"/>
          <w:szCs w:val="32"/>
          <w:highlight w:val="none"/>
          <w:lang w:eastAsia="zh-CN"/>
        </w:rPr>
        <w:t>商务局下属事业单位淮北市商务综合执法大队机构改革单位撤销，经费减少</w:t>
      </w:r>
      <w:r>
        <w:rPr>
          <w:rFonts w:hint="eastAsia" w:ascii="TimesNewRoman" w:hAnsi="TimesNewRoman" w:eastAsia="仿宋_GB2312" w:cs="TimesNewRoman"/>
          <w:kern w:val="0"/>
          <w:sz w:val="32"/>
          <w:szCs w:val="32"/>
          <w:highlight w:val="none"/>
        </w:rPr>
        <w:t>。</w:t>
      </w: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rPr>
        <w:t>4、社会保障和就业支出（类）行政事业单位养老支出（款）行政单位离退休（项）2025年预算</w:t>
      </w:r>
      <w:r>
        <w:rPr>
          <w:rFonts w:hint="eastAsia" w:ascii="TimesNewRoman" w:hAnsi="TimesNewRoman" w:eastAsia="仿宋_GB2312" w:cs="TimesNewRoman"/>
          <w:kern w:val="0"/>
          <w:sz w:val="32"/>
          <w:szCs w:val="32"/>
          <w:highlight w:val="none"/>
          <w:lang w:val="en-US" w:eastAsia="zh-CN"/>
        </w:rPr>
        <w:t>147.07</w:t>
      </w:r>
      <w:r>
        <w:rPr>
          <w:rFonts w:hint="eastAsia" w:ascii="TimesNewRoman" w:hAnsi="TimesNewRoman" w:eastAsia="仿宋_GB2312" w:cs="TimesNewRoman"/>
          <w:kern w:val="0"/>
          <w:sz w:val="32"/>
          <w:szCs w:val="32"/>
          <w:highlight w:val="none"/>
        </w:rPr>
        <w:t>万元，比2024年预算减少</w:t>
      </w:r>
      <w:r>
        <w:rPr>
          <w:rFonts w:hint="eastAsia" w:ascii="TimesNewRoman" w:hAnsi="TimesNewRoman" w:eastAsia="仿宋_GB2312" w:cs="TimesNewRoman"/>
          <w:kern w:val="0"/>
          <w:sz w:val="32"/>
          <w:szCs w:val="32"/>
          <w:highlight w:val="none"/>
          <w:lang w:val="en-US" w:eastAsia="zh-CN"/>
        </w:rPr>
        <w:t>31.16</w:t>
      </w:r>
      <w:r>
        <w:rPr>
          <w:rFonts w:hint="eastAsia" w:ascii="TimesNewRoman" w:hAnsi="TimesNewRoman" w:eastAsia="仿宋_GB2312" w:cs="TimesNewRoman"/>
          <w:kern w:val="0"/>
          <w:sz w:val="32"/>
          <w:szCs w:val="32"/>
          <w:highlight w:val="none"/>
        </w:rPr>
        <w:t>万元，下降</w:t>
      </w:r>
      <w:r>
        <w:rPr>
          <w:rFonts w:hint="eastAsia" w:ascii="TimesNewRoman" w:hAnsi="TimesNewRoman" w:eastAsia="仿宋_GB2312" w:cs="TimesNewRoman"/>
          <w:kern w:val="0"/>
          <w:sz w:val="32"/>
          <w:szCs w:val="32"/>
          <w:highlight w:val="none"/>
          <w:lang w:val="en-US" w:eastAsia="zh-CN"/>
        </w:rPr>
        <w:t>17.48</w:t>
      </w:r>
      <w:r>
        <w:rPr>
          <w:rFonts w:hint="eastAsia" w:ascii="TimesNewRoman" w:hAnsi="TimesNewRoman" w:eastAsia="仿宋_GB2312" w:cs="TimesNewRoman"/>
          <w:kern w:val="0"/>
          <w:sz w:val="32"/>
          <w:szCs w:val="32"/>
          <w:highlight w:val="none"/>
        </w:rPr>
        <w:t>%，原因主要是</w:t>
      </w:r>
      <w:r>
        <w:rPr>
          <w:rFonts w:hint="eastAsia" w:ascii="TimesNewRoman" w:hAnsi="TimesNewRoman" w:eastAsia="仿宋_GB2312" w:cs="TimesNewRoman"/>
          <w:kern w:val="0"/>
          <w:sz w:val="32"/>
          <w:szCs w:val="32"/>
          <w:highlight w:val="none"/>
          <w:lang w:val="en-US" w:eastAsia="zh-CN"/>
        </w:rPr>
        <w:t>退休人员提租补贴支出功能科目变更</w:t>
      </w:r>
      <w:r>
        <w:rPr>
          <w:rFonts w:hint="eastAsia" w:ascii="TimesNewRoman" w:hAnsi="TimesNewRoman" w:eastAsia="仿宋_GB2312" w:cs="TimesNewRoman"/>
          <w:kern w:val="0"/>
          <w:sz w:val="32"/>
          <w:szCs w:val="32"/>
          <w:highlight w:val="none"/>
        </w:rPr>
        <w:t>。</w:t>
      </w:r>
    </w:p>
    <w:p>
      <w:pPr>
        <w:ind w:firstLine="640" w:firstLineChars="200"/>
        <w:rPr>
          <w:rFonts w:hint="eastAsia" w:ascii="TimesNewRoman" w:hAnsi="TimesNewRoman" w:eastAsia="仿宋_GB2312" w:cs="TimesNewRoman"/>
          <w:kern w:val="0"/>
          <w:sz w:val="32"/>
          <w:szCs w:val="32"/>
          <w:highlight w:val="none"/>
          <w:lang w:val="en-US" w:eastAsia="zh-CN"/>
        </w:rPr>
      </w:pPr>
      <w:r>
        <w:rPr>
          <w:rFonts w:hint="eastAsia" w:ascii="TimesNewRoman" w:hAnsi="TimesNewRoman" w:eastAsia="仿宋_GB2312" w:cs="TimesNewRoman"/>
          <w:kern w:val="0"/>
          <w:sz w:val="32"/>
          <w:szCs w:val="32"/>
          <w:highlight w:val="none"/>
          <w:lang w:val="en-US" w:eastAsia="zh-CN"/>
        </w:rPr>
        <w:t>5</w:t>
      </w:r>
      <w:r>
        <w:rPr>
          <w:rFonts w:hint="eastAsia" w:ascii="TimesNewRoman" w:hAnsi="TimesNewRoman" w:eastAsia="仿宋_GB2312" w:cs="TimesNewRoman"/>
          <w:kern w:val="0"/>
          <w:sz w:val="32"/>
          <w:szCs w:val="32"/>
          <w:highlight w:val="none"/>
        </w:rPr>
        <w:t>、社会保障和就业支出（类）行政事业单位养老支出（款）</w:t>
      </w:r>
      <w:r>
        <w:rPr>
          <w:rFonts w:hint="eastAsia" w:ascii="TimesNewRoman" w:hAnsi="TimesNewRoman" w:eastAsia="仿宋_GB2312" w:cs="TimesNewRoman"/>
          <w:kern w:val="0"/>
          <w:sz w:val="32"/>
          <w:szCs w:val="32"/>
          <w:highlight w:val="none"/>
          <w:lang w:val="en-US" w:eastAsia="zh-CN"/>
        </w:rPr>
        <w:t>事业</w:t>
      </w:r>
      <w:r>
        <w:rPr>
          <w:rFonts w:hint="eastAsia" w:ascii="TimesNewRoman" w:hAnsi="TimesNewRoman" w:eastAsia="仿宋_GB2312" w:cs="TimesNewRoman"/>
          <w:kern w:val="0"/>
          <w:sz w:val="32"/>
          <w:szCs w:val="32"/>
          <w:highlight w:val="none"/>
        </w:rPr>
        <w:t>单位离退休（项）202</w:t>
      </w:r>
      <w:r>
        <w:rPr>
          <w:rFonts w:hint="eastAsia" w:ascii="TimesNewRoman" w:hAnsi="TimesNewRoman" w:eastAsia="仿宋_GB2312" w:cs="TimesNewRoman"/>
          <w:kern w:val="0"/>
          <w:sz w:val="32"/>
          <w:szCs w:val="32"/>
          <w:highlight w:val="none"/>
          <w:lang w:val="en-US" w:eastAsia="zh-CN"/>
        </w:rPr>
        <w:t>5</w:t>
      </w:r>
      <w:r>
        <w:rPr>
          <w:rFonts w:hint="eastAsia" w:ascii="TimesNewRoman" w:hAnsi="TimesNewRoman" w:eastAsia="仿宋_GB2312" w:cs="TimesNewRoman"/>
          <w:kern w:val="0"/>
          <w:sz w:val="32"/>
          <w:szCs w:val="32"/>
          <w:highlight w:val="none"/>
        </w:rPr>
        <w:t>年预算</w:t>
      </w:r>
      <w:r>
        <w:rPr>
          <w:rFonts w:hint="eastAsia" w:ascii="TimesNewRoman" w:hAnsi="TimesNewRoman" w:eastAsia="仿宋_GB2312" w:cs="TimesNewRoman"/>
          <w:kern w:val="0"/>
          <w:sz w:val="32"/>
          <w:szCs w:val="32"/>
          <w:highlight w:val="none"/>
          <w:lang w:val="en-US" w:eastAsia="zh-CN"/>
        </w:rPr>
        <w:t>2.66</w:t>
      </w:r>
      <w:r>
        <w:rPr>
          <w:rFonts w:hint="eastAsia" w:ascii="TimesNewRoman" w:hAnsi="TimesNewRoman" w:eastAsia="仿宋_GB2312" w:cs="TimesNewRoman"/>
          <w:kern w:val="0"/>
          <w:sz w:val="32"/>
          <w:szCs w:val="32"/>
          <w:highlight w:val="none"/>
        </w:rPr>
        <w:t>万元，比202</w:t>
      </w:r>
      <w:r>
        <w:rPr>
          <w:rFonts w:hint="eastAsia" w:ascii="TimesNewRoman" w:hAnsi="TimesNewRoman" w:eastAsia="仿宋_GB2312" w:cs="TimesNewRoman"/>
          <w:kern w:val="0"/>
          <w:sz w:val="32"/>
          <w:szCs w:val="32"/>
          <w:highlight w:val="none"/>
          <w:lang w:val="en-US" w:eastAsia="zh-CN"/>
        </w:rPr>
        <w:t>4</w:t>
      </w:r>
      <w:r>
        <w:rPr>
          <w:rFonts w:hint="eastAsia" w:ascii="TimesNewRoman" w:hAnsi="TimesNewRoman" w:eastAsia="仿宋_GB2312" w:cs="TimesNewRoman"/>
          <w:kern w:val="0"/>
          <w:sz w:val="32"/>
          <w:szCs w:val="32"/>
          <w:highlight w:val="none"/>
        </w:rPr>
        <w:t>年预算</w:t>
      </w:r>
      <w:r>
        <w:rPr>
          <w:rFonts w:hint="eastAsia" w:ascii="TimesNewRoman" w:hAnsi="TimesNewRoman" w:eastAsia="仿宋_GB2312" w:cs="TimesNewRoman"/>
          <w:kern w:val="0"/>
          <w:sz w:val="32"/>
          <w:szCs w:val="32"/>
          <w:highlight w:val="none"/>
          <w:lang w:val="en-US" w:eastAsia="zh-CN"/>
        </w:rPr>
        <w:t>增加2.66</w:t>
      </w:r>
      <w:r>
        <w:rPr>
          <w:rFonts w:hint="eastAsia" w:ascii="TimesNewRoman" w:hAnsi="TimesNewRoman" w:eastAsia="仿宋_GB2312" w:cs="TimesNewRoman"/>
          <w:kern w:val="0"/>
          <w:sz w:val="32"/>
          <w:szCs w:val="32"/>
          <w:highlight w:val="none"/>
        </w:rPr>
        <w:t>万元，原因主要是</w:t>
      </w:r>
      <w:r>
        <w:rPr>
          <w:rFonts w:hint="eastAsia" w:ascii="TimesNewRoman" w:hAnsi="TimesNewRoman" w:eastAsia="仿宋_GB2312" w:cs="TimesNewRoman"/>
          <w:kern w:val="0"/>
          <w:sz w:val="32"/>
          <w:szCs w:val="32"/>
          <w:highlight w:val="none"/>
          <w:lang w:val="en-US" w:eastAsia="zh-CN"/>
        </w:rPr>
        <w:t>事业编制退休人员增加。</w:t>
      </w:r>
    </w:p>
    <w:p>
      <w:pPr>
        <w:ind w:firstLine="640" w:firstLineChars="200"/>
        <w:rPr>
          <w:rFonts w:hint="eastAsia" w:ascii="TimesNewRoman" w:hAnsi="TimesNewRoman" w:eastAsia="仿宋_GB2312" w:cs="TimesNewRoman"/>
          <w:kern w:val="0"/>
          <w:sz w:val="32"/>
          <w:szCs w:val="32"/>
          <w:highlight w:val="none"/>
          <w:lang w:val="en-US" w:eastAsia="zh-CN"/>
        </w:rPr>
      </w:pPr>
      <w:r>
        <w:rPr>
          <w:rFonts w:hint="eastAsia" w:ascii="TimesNewRoman" w:hAnsi="TimesNewRoman" w:eastAsia="仿宋_GB2312" w:cs="TimesNewRoman"/>
          <w:kern w:val="0"/>
          <w:sz w:val="32"/>
          <w:szCs w:val="32"/>
          <w:highlight w:val="none"/>
          <w:lang w:val="en-US" w:eastAsia="zh-CN"/>
        </w:rPr>
        <w:t>6</w:t>
      </w:r>
      <w:r>
        <w:rPr>
          <w:rFonts w:hint="eastAsia" w:ascii="TimesNewRoman" w:hAnsi="TimesNewRoman" w:eastAsia="仿宋_GB2312" w:cs="TimesNewRoman"/>
          <w:kern w:val="0"/>
          <w:sz w:val="32"/>
          <w:szCs w:val="32"/>
          <w:highlight w:val="none"/>
        </w:rPr>
        <w:t>、社会保障和就业支出（类）行政事业单位养老支出（款）机关事业单位基本养老保险缴费支出（项）202</w:t>
      </w:r>
      <w:r>
        <w:rPr>
          <w:rFonts w:hint="eastAsia" w:ascii="TimesNewRoman" w:hAnsi="TimesNewRoman" w:eastAsia="仿宋_GB2312" w:cs="TimesNewRoman"/>
          <w:kern w:val="0"/>
          <w:sz w:val="32"/>
          <w:szCs w:val="32"/>
          <w:highlight w:val="none"/>
          <w:lang w:val="en-US" w:eastAsia="zh-CN"/>
        </w:rPr>
        <w:t>5</w:t>
      </w:r>
      <w:r>
        <w:rPr>
          <w:rFonts w:hint="eastAsia" w:ascii="TimesNewRoman" w:hAnsi="TimesNewRoman" w:eastAsia="仿宋_GB2312" w:cs="TimesNewRoman"/>
          <w:kern w:val="0"/>
          <w:sz w:val="32"/>
          <w:szCs w:val="32"/>
          <w:highlight w:val="none"/>
        </w:rPr>
        <w:t>年预算</w:t>
      </w:r>
      <w:r>
        <w:rPr>
          <w:rFonts w:hint="eastAsia" w:ascii="TimesNewRoman" w:hAnsi="TimesNewRoman" w:eastAsia="仿宋_GB2312" w:cs="TimesNewRoman"/>
          <w:kern w:val="0"/>
          <w:sz w:val="32"/>
          <w:szCs w:val="32"/>
          <w:highlight w:val="none"/>
          <w:lang w:val="en-US" w:eastAsia="zh-CN"/>
        </w:rPr>
        <w:t>89.87</w:t>
      </w:r>
      <w:r>
        <w:rPr>
          <w:rFonts w:hint="eastAsia" w:ascii="TimesNewRoman" w:hAnsi="TimesNewRoman" w:eastAsia="仿宋_GB2312" w:cs="TimesNewRoman"/>
          <w:kern w:val="0"/>
          <w:sz w:val="32"/>
          <w:szCs w:val="32"/>
          <w:highlight w:val="none"/>
        </w:rPr>
        <w:t>万元，比202</w:t>
      </w:r>
      <w:r>
        <w:rPr>
          <w:rFonts w:hint="eastAsia" w:ascii="TimesNewRoman" w:hAnsi="TimesNewRoman" w:eastAsia="仿宋_GB2312" w:cs="TimesNewRoman"/>
          <w:kern w:val="0"/>
          <w:sz w:val="32"/>
          <w:szCs w:val="32"/>
          <w:highlight w:val="none"/>
          <w:lang w:val="en-US" w:eastAsia="zh-CN"/>
        </w:rPr>
        <w:t>4</w:t>
      </w:r>
      <w:r>
        <w:rPr>
          <w:rFonts w:hint="eastAsia" w:ascii="TimesNewRoman" w:hAnsi="TimesNewRoman" w:eastAsia="仿宋_GB2312" w:cs="TimesNewRoman"/>
          <w:kern w:val="0"/>
          <w:sz w:val="32"/>
          <w:szCs w:val="32"/>
          <w:highlight w:val="none"/>
        </w:rPr>
        <w:t>年预算</w:t>
      </w:r>
      <w:r>
        <w:rPr>
          <w:rFonts w:hint="eastAsia" w:ascii="TimesNewRoman" w:hAnsi="TimesNewRoman" w:eastAsia="仿宋_GB2312" w:cs="TimesNewRoman"/>
          <w:kern w:val="0"/>
          <w:sz w:val="32"/>
          <w:szCs w:val="32"/>
          <w:highlight w:val="none"/>
          <w:lang w:val="en-US" w:eastAsia="zh-CN"/>
        </w:rPr>
        <w:t>减少2.13</w:t>
      </w:r>
      <w:r>
        <w:rPr>
          <w:rFonts w:hint="eastAsia" w:ascii="TimesNewRoman" w:hAnsi="TimesNewRoman" w:eastAsia="仿宋_GB2312" w:cs="TimesNewRoman"/>
          <w:kern w:val="0"/>
          <w:sz w:val="32"/>
          <w:szCs w:val="32"/>
          <w:highlight w:val="none"/>
        </w:rPr>
        <w:t>万元，</w:t>
      </w:r>
      <w:r>
        <w:rPr>
          <w:rFonts w:hint="eastAsia" w:ascii="TimesNewRoman" w:hAnsi="TimesNewRoman" w:eastAsia="仿宋_GB2312" w:cs="TimesNewRoman"/>
          <w:kern w:val="0"/>
          <w:sz w:val="32"/>
          <w:szCs w:val="32"/>
          <w:highlight w:val="none"/>
          <w:lang w:val="en-US" w:eastAsia="zh-CN"/>
        </w:rPr>
        <w:t>下降2.32</w:t>
      </w:r>
      <w:r>
        <w:rPr>
          <w:rFonts w:hint="eastAsia" w:ascii="TimesNewRoman" w:hAnsi="TimesNewRoman" w:eastAsia="仿宋_GB2312" w:cs="TimesNewRoman"/>
          <w:kern w:val="0"/>
          <w:sz w:val="32"/>
          <w:szCs w:val="32"/>
          <w:highlight w:val="none"/>
        </w:rPr>
        <w:t>%</w:t>
      </w:r>
      <w:r>
        <w:rPr>
          <w:rFonts w:hint="eastAsia" w:ascii="TimesNewRoman" w:hAnsi="TimesNewRoman" w:eastAsia="仿宋_GB2312" w:cs="TimesNewRoman"/>
          <w:kern w:val="0"/>
          <w:sz w:val="32"/>
          <w:szCs w:val="32"/>
          <w:highlight w:val="none"/>
          <w:lang w:eastAsia="zh-CN"/>
        </w:rPr>
        <w:t>，</w:t>
      </w:r>
      <w:r>
        <w:rPr>
          <w:rFonts w:hint="eastAsia" w:ascii="TimesNewRoman" w:hAnsi="TimesNewRoman" w:eastAsia="仿宋_GB2312" w:cs="TimesNewRoman"/>
          <w:kern w:val="0"/>
          <w:sz w:val="32"/>
          <w:szCs w:val="32"/>
          <w:highlight w:val="none"/>
        </w:rPr>
        <w:t>原因主要是</w:t>
      </w:r>
      <w:r>
        <w:rPr>
          <w:rFonts w:hint="eastAsia" w:ascii="TimesNewRoman" w:hAnsi="TimesNewRoman" w:eastAsia="仿宋_GB2312" w:cs="TimesNewRoman"/>
          <w:kern w:val="0"/>
          <w:sz w:val="32"/>
          <w:szCs w:val="32"/>
          <w:highlight w:val="none"/>
          <w:lang w:val="en-US" w:eastAsia="zh-CN"/>
        </w:rPr>
        <w:t>在职人员减少。</w:t>
      </w:r>
    </w:p>
    <w:p>
      <w:pPr>
        <w:ind w:firstLine="640" w:firstLineChars="200"/>
        <w:rPr>
          <w:rFonts w:hint="eastAsia" w:ascii="TimesNewRoman" w:hAnsi="TimesNewRoman" w:eastAsia="仿宋_GB2312" w:cs="TimesNewRoman"/>
          <w:kern w:val="0"/>
          <w:sz w:val="32"/>
          <w:szCs w:val="32"/>
          <w:highlight w:val="none"/>
          <w:lang w:val="en-US" w:eastAsia="zh-CN"/>
        </w:rPr>
      </w:pPr>
      <w:r>
        <w:rPr>
          <w:rFonts w:hint="eastAsia" w:ascii="TimesNewRoman" w:hAnsi="TimesNewRoman" w:eastAsia="仿宋_GB2312" w:cs="TimesNewRoman"/>
          <w:kern w:val="0"/>
          <w:sz w:val="32"/>
          <w:szCs w:val="32"/>
          <w:highlight w:val="none"/>
          <w:lang w:val="en-US" w:eastAsia="zh-CN"/>
        </w:rPr>
        <w:t>7</w:t>
      </w:r>
      <w:r>
        <w:rPr>
          <w:rFonts w:hint="eastAsia" w:ascii="TimesNewRoman" w:hAnsi="TimesNewRoman" w:eastAsia="仿宋_GB2312" w:cs="TimesNewRoman"/>
          <w:kern w:val="0"/>
          <w:sz w:val="32"/>
          <w:szCs w:val="32"/>
          <w:highlight w:val="none"/>
        </w:rPr>
        <w:t>、社会保障和就业支出（类）行政事业单位养老支出（款）机关事业单位职业年金缴费支出（项）202</w:t>
      </w:r>
      <w:r>
        <w:rPr>
          <w:rFonts w:hint="eastAsia" w:ascii="TimesNewRoman" w:hAnsi="TimesNewRoman" w:eastAsia="仿宋_GB2312" w:cs="TimesNewRoman"/>
          <w:kern w:val="0"/>
          <w:sz w:val="32"/>
          <w:szCs w:val="32"/>
          <w:highlight w:val="none"/>
          <w:lang w:val="en-US" w:eastAsia="zh-CN"/>
        </w:rPr>
        <w:t>5</w:t>
      </w:r>
      <w:r>
        <w:rPr>
          <w:rFonts w:hint="eastAsia" w:ascii="TimesNewRoman" w:hAnsi="TimesNewRoman" w:eastAsia="仿宋_GB2312" w:cs="TimesNewRoman"/>
          <w:kern w:val="0"/>
          <w:sz w:val="32"/>
          <w:szCs w:val="32"/>
          <w:highlight w:val="none"/>
        </w:rPr>
        <w:t>年预算</w:t>
      </w:r>
      <w:r>
        <w:rPr>
          <w:rFonts w:hint="eastAsia" w:ascii="TimesNewRoman" w:hAnsi="TimesNewRoman" w:eastAsia="仿宋_GB2312" w:cs="TimesNewRoman"/>
          <w:kern w:val="0"/>
          <w:sz w:val="32"/>
          <w:szCs w:val="32"/>
          <w:highlight w:val="none"/>
          <w:lang w:val="en-US" w:eastAsia="zh-CN"/>
        </w:rPr>
        <w:t>44.93</w:t>
      </w:r>
      <w:r>
        <w:rPr>
          <w:rFonts w:hint="eastAsia" w:ascii="TimesNewRoman" w:hAnsi="TimesNewRoman" w:eastAsia="仿宋_GB2312" w:cs="TimesNewRoman"/>
          <w:kern w:val="0"/>
          <w:sz w:val="32"/>
          <w:szCs w:val="32"/>
          <w:highlight w:val="none"/>
        </w:rPr>
        <w:t>万元，比202</w:t>
      </w:r>
      <w:r>
        <w:rPr>
          <w:rFonts w:hint="eastAsia" w:ascii="TimesNewRoman" w:hAnsi="TimesNewRoman" w:eastAsia="仿宋_GB2312" w:cs="TimesNewRoman"/>
          <w:kern w:val="0"/>
          <w:sz w:val="32"/>
          <w:szCs w:val="32"/>
          <w:highlight w:val="none"/>
          <w:lang w:val="en-US" w:eastAsia="zh-CN"/>
        </w:rPr>
        <w:t>4</w:t>
      </w:r>
      <w:r>
        <w:rPr>
          <w:rFonts w:hint="eastAsia" w:ascii="TimesNewRoman" w:hAnsi="TimesNewRoman" w:eastAsia="仿宋_GB2312" w:cs="TimesNewRoman"/>
          <w:kern w:val="0"/>
          <w:sz w:val="32"/>
          <w:szCs w:val="32"/>
          <w:highlight w:val="none"/>
        </w:rPr>
        <w:t>年预算</w:t>
      </w:r>
      <w:r>
        <w:rPr>
          <w:rFonts w:hint="eastAsia" w:ascii="TimesNewRoman" w:hAnsi="TimesNewRoman" w:eastAsia="仿宋_GB2312" w:cs="TimesNewRoman"/>
          <w:kern w:val="0"/>
          <w:sz w:val="32"/>
          <w:szCs w:val="32"/>
          <w:highlight w:val="none"/>
          <w:lang w:val="en-US" w:eastAsia="zh-CN"/>
        </w:rPr>
        <w:t>减少1.07</w:t>
      </w:r>
      <w:r>
        <w:rPr>
          <w:rFonts w:hint="eastAsia" w:ascii="TimesNewRoman" w:hAnsi="TimesNewRoman" w:eastAsia="仿宋_GB2312" w:cs="TimesNewRoman"/>
          <w:kern w:val="0"/>
          <w:sz w:val="32"/>
          <w:szCs w:val="32"/>
          <w:highlight w:val="none"/>
        </w:rPr>
        <w:t>万元，</w:t>
      </w:r>
      <w:r>
        <w:rPr>
          <w:rFonts w:hint="eastAsia" w:ascii="TimesNewRoman" w:hAnsi="TimesNewRoman" w:eastAsia="仿宋_GB2312" w:cs="TimesNewRoman"/>
          <w:kern w:val="0"/>
          <w:sz w:val="32"/>
          <w:szCs w:val="32"/>
          <w:highlight w:val="none"/>
          <w:lang w:val="en-US" w:eastAsia="zh-CN"/>
        </w:rPr>
        <w:t>下降2.32</w:t>
      </w:r>
      <w:r>
        <w:rPr>
          <w:rFonts w:hint="eastAsia" w:ascii="TimesNewRoman" w:hAnsi="TimesNewRoman" w:eastAsia="仿宋_GB2312" w:cs="TimesNewRoman"/>
          <w:kern w:val="0"/>
          <w:sz w:val="32"/>
          <w:szCs w:val="32"/>
          <w:highlight w:val="none"/>
        </w:rPr>
        <w:t>%，原因主要是</w:t>
      </w:r>
      <w:r>
        <w:rPr>
          <w:rFonts w:hint="eastAsia" w:ascii="TimesNewRoman" w:hAnsi="TimesNewRoman" w:eastAsia="仿宋_GB2312" w:cs="TimesNewRoman"/>
          <w:kern w:val="0"/>
          <w:sz w:val="32"/>
          <w:szCs w:val="32"/>
          <w:highlight w:val="none"/>
          <w:lang w:val="en-US" w:eastAsia="zh-CN"/>
        </w:rPr>
        <w:t>在职人员减少。</w:t>
      </w:r>
    </w:p>
    <w:p>
      <w:pPr>
        <w:ind w:firstLine="640" w:firstLineChars="200"/>
        <w:rPr>
          <w:rFonts w:hint="eastAsia" w:ascii="TimesNewRoman" w:hAnsi="TimesNewRoman" w:eastAsia="仿宋_GB2312" w:cs="TimesNewRoman"/>
          <w:kern w:val="0"/>
          <w:sz w:val="32"/>
          <w:szCs w:val="32"/>
          <w:highlight w:val="none"/>
          <w:lang w:val="en-US" w:eastAsia="zh-CN"/>
        </w:rPr>
      </w:pPr>
      <w:r>
        <w:rPr>
          <w:rFonts w:hint="eastAsia" w:ascii="TimesNewRoman" w:hAnsi="TimesNewRoman" w:eastAsia="仿宋_GB2312" w:cs="TimesNewRoman"/>
          <w:kern w:val="0"/>
          <w:sz w:val="32"/>
          <w:szCs w:val="32"/>
          <w:highlight w:val="none"/>
          <w:lang w:val="en-US" w:eastAsia="zh-CN"/>
        </w:rPr>
        <w:t>8</w:t>
      </w:r>
      <w:r>
        <w:rPr>
          <w:rFonts w:hint="eastAsia" w:ascii="TimesNewRoman" w:hAnsi="TimesNewRoman" w:eastAsia="仿宋_GB2312" w:cs="TimesNewRoman"/>
          <w:kern w:val="0"/>
          <w:sz w:val="32"/>
          <w:szCs w:val="32"/>
          <w:highlight w:val="none"/>
        </w:rPr>
        <w:t>、社会保障和就业支出（类）其他社会保障和就业支出（款）其他社会保障和就业支出（项）202</w:t>
      </w:r>
      <w:r>
        <w:rPr>
          <w:rFonts w:hint="eastAsia" w:ascii="TimesNewRoman" w:hAnsi="TimesNewRoman" w:eastAsia="仿宋_GB2312" w:cs="TimesNewRoman"/>
          <w:kern w:val="0"/>
          <w:sz w:val="32"/>
          <w:szCs w:val="32"/>
          <w:highlight w:val="none"/>
          <w:lang w:val="en-US" w:eastAsia="zh-CN"/>
        </w:rPr>
        <w:t>5</w:t>
      </w:r>
      <w:r>
        <w:rPr>
          <w:rFonts w:hint="eastAsia" w:ascii="TimesNewRoman" w:hAnsi="TimesNewRoman" w:eastAsia="仿宋_GB2312" w:cs="TimesNewRoman"/>
          <w:kern w:val="0"/>
          <w:sz w:val="32"/>
          <w:szCs w:val="32"/>
          <w:highlight w:val="none"/>
        </w:rPr>
        <w:t>年预算</w:t>
      </w:r>
      <w:r>
        <w:rPr>
          <w:rFonts w:hint="eastAsia" w:ascii="TimesNewRoman" w:hAnsi="TimesNewRoman" w:eastAsia="仿宋_GB2312" w:cs="TimesNewRoman"/>
          <w:kern w:val="0"/>
          <w:sz w:val="32"/>
          <w:szCs w:val="32"/>
          <w:highlight w:val="none"/>
          <w:lang w:val="en-US" w:eastAsia="zh-CN"/>
        </w:rPr>
        <w:t>1.79</w:t>
      </w:r>
      <w:r>
        <w:rPr>
          <w:rFonts w:hint="eastAsia" w:ascii="TimesNewRoman" w:hAnsi="TimesNewRoman" w:eastAsia="仿宋_GB2312" w:cs="TimesNewRoman"/>
          <w:kern w:val="0"/>
          <w:sz w:val="32"/>
          <w:szCs w:val="32"/>
          <w:highlight w:val="none"/>
        </w:rPr>
        <w:t>万元，比202</w:t>
      </w:r>
      <w:r>
        <w:rPr>
          <w:rFonts w:hint="eastAsia" w:ascii="TimesNewRoman" w:hAnsi="TimesNewRoman" w:eastAsia="仿宋_GB2312" w:cs="TimesNewRoman"/>
          <w:kern w:val="0"/>
          <w:sz w:val="32"/>
          <w:szCs w:val="32"/>
          <w:highlight w:val="none"/>
          <w:lang w:val="en-US" w:eastAsia="zh-CN"/>
        </w:rPr>
        <w:t>4</w:t>
      </w:r>
      <w:r>
        <w:rPr>
          <w:rFonts w:hint="eastAsia" w:ascii="TimesNewRoman" w:hAnsi="TimesNewRoman" w:eastAsia="仿宋_GB2312" w:cs="TimesNewRoman"/>
          <w:kern w:val="0"/>
          <w:sz w:val="32"/>
          <w:szCs w:val="32"/>
          <w:highlight w:val="none"/>
        </w:rPr>
        <w:t>年预算</w:t>
      </w:r>
      <w:r>
        <w:rPr>
          <w:rFonts w:hint="eastAsia" w:ascii="TimesNewRoman" w:hAnsi="TimesNewRoman" w:eastAsia="仿宋_GB2312" w:cs="TimesNewRoman"/>
          <w:kern w:val="0"/>
          <w:sz w:val="32"/>
          <w:szCs w:val="32"/>
          <w:highlight w:val="none"/>
          <w:lang w:val="en-US" w:eastAsia="zh-CN"/>
        </w:rPr>
        <w:t>减少0.07</w:t>
      </w:r>
      <w:r>
        <w:rPr>
          <w:rFonts w:hint="eastAsia" w:ascii="TimesNewRoman" w:hAnsi="TimesNewRoman" w:eastAsia="仿宋_GB2312" w:cs="TimesNewRoman"/>
          <w:kern w:val="0"/>
          <w:sz w:val="32"/>
          <w:szCs w:val="32"/>
          <w:highlight w:val="none"/>
        </w:rPr>
        <w:t>万元，</w:t>
      </w:r>
      <w:r>
        <w:rPr>
          <w:rFonts w:hint="eastAsia" w:ascii="TimesNewRoman" w:hAnsi="TimesNewRoman" w:eastAsia="仿宋_GB2312" w:cs="TimesNewRoman"/>
          <w:kern w:val="0"/>
          <w:sz w:val="32"/>
          <w:szCs w:val="32"/>
          <w:highlight w:val="none"/>
          <w:lang w:val="en-US" w:eastAsia="zh-CN"/>
        </w:rPr>
        <w:t>下降3.76</w:t>
      </w:r>
      <w:r>
        <w:rPr>
          <w:rFonts w:hint="eastAsia" w:ascii="TimesNewRoman" w:hAnsi="TimesNewRoman" w:eastAsia="仿宋_GB2312" w:cs="TimesNewRoman"/>
          <w:kern w:val="0"/>
          <w:sz w:val="32"/>
          <w:szCs w:val="32"/>
          <w:highlight w:val="none"/>
        </w:rPr>
        <w:t>%，原因主要是</w:t>
      </w:r>
      <w:r>
        <w:rPr>
          <w:rFonts w:hint="eastAsia" w:ascii="TimesNewRoman" w:hAnsi="TimesNewRoman" w:eastAsia="仿宋_GB2312" w:cs="TimesNewRoman"/>
          <w:kern w:val="0"/>
          <w:sz w:val="32"/>
          <w:szCs w:val="32"/>
          <w:highlight w:val="none"/>
          <w:lang w:val="en-US" w:eastAsia="zh-CN"/>
        </w:rPr>
        <w:t>在职人员减少。</w:t>
      </w:r>
    </w:p>
    <w:p>
      <w:pPr>
        <w:ind w:firstLine="640" w:firstLineChars="200"/>
        <w:rPr>
          <w:rFonts w:hint="eastAsia" w:ascii="TimesNewRoman" w:hAnsi="TimesNewRoman" w:eastAsia="仿宋_GB2312" w:cs="TimesNewRoman"/>
          <w:kern w:val="0"/>
          <w:sz w:val="32"/>
          <w:szCs w:val="32"/>
          <w:highlight w:val="none"/>
          <w:lang w:val="en-US" w:eastAsia="zh-CN"/>
        </w:rPr>
      </w:pPr>
      <w:r>
        <w:rPr>
          <w:rFonts w:hint="eastAsia" w:ascii="TimesNewRoman" w:hAnsi="TimesNewRoman" w:eastAsia="仿宋_GB2312" w:cs="TimesNewRoman"/>
          <w:kern w:val="0"/>
          <w:sz w:val="32"/>
          <w:szCs w:val="32"/>
          <w:highlight w:val="none"/>
          <w:lang w:val="en-US" w:eastAsia="zh-CN"/>
        </w:rPr>
        <w:t>9</w:t>
      </w:r>
      <w:r>
        <w:rPr>
          <w:rFonts w:hint="eastAsia" w:ascii="TimesNewRoman" w:hAnsi="TimesNewRoman" w:eastAsia="仿宋_GB2312" w:cs="TimesNewRoman"/>
          <w:kern w:val="0"/>
          <w:sz w:val="32"/>
          <w:szCs w:val="32"/>
          <w:highlight w:val="none"/>
        </w:rPr>
        <w:t>、卫生健康支出（类）行政事业单位医疗（款）行政单位医疗（项）202</w:t>
      </w:r>
      <w:r>
        <w:rPr>
          <w:rFonts w:hint="eastAsia" w:ascii="TimesNewRoman" w:hAnsi="TimesNewRoman" w:eastAsia="仿宋_GB2312" w:cs="TimesNewRoman"/>
          <w:kern w:val="0"/>
          <w:sz w:val="32"/>
          <w:szCs w:val="32"/>
          <w:highlight w:val="none"/>
          <w:lang w:val="en-US" w:eastAsia="zh-CN"/>
        </w:rPr>
        <w:t>5</w:t>
      </w:r>
      <w:r>
        <w:rPr>
          <w:rFonts w:hint="eastAsia" w:ascii="TimesNewRoman" w:hAnsi="TimesNewRoman" w:eastAsia="仿宋_GB2312" w:cs="TimesNewRoman"/>
          <w:kern w:val="0"/>
          <w:sz w:val="32"/>
          <w:szCs w:val="32"/>
          <w:highlight w:val="none"/>
        </w:rPr>
        <w:t>年预算</w:t>
      </w:r>
      <w:r>
        <w:rPr>
          <w:rFonts w:hint="eastAsia" w:ascii="TimesNewRoman" w:hAnsi="TimesNewRoman" w:eastAsia="仿宋_GB2312" w:cs="TimesNewRoman"/>
          <w:kern w:val="0"/>
          <w:sz w:val="32"/>
          <w:szCs w:val="32"/>
          <w:highlight w:val="none"/>
          <w:lang w:val="en-US" w:eastAsia="zh-CN"/>
        </w:rPr>
        <w:t>15.32</w:t>
      </w:r>
      <w:r>
        <w:rPr>
          <w:rFonts w:hint="eastAsia" w:ascii="TimesNewRoman" w:hAnsi="TimesNewRoman" w:eastAsia="仿宋_GB2312" w:cs="TimesNewRoman"/>
          <w:kern w:val="0"/>
          <w:sz w:val="32"/>
          <w:szCs w:val="32"/>
          <w:highlight w:val="none"/>
        </w:rPr>
        <w:t>万元，比202</w:t>
      </w:r>
      <w:r>
        <w:rPr>
          <w:rFonts w:hint="eastAsia" w:ascii="TimesNewRoman" w:hAnsi="TimesNewRoman" w:eastAsia="仿宋_GB2312" w:cs="TimesNewRoman"/>
          <w:kern w:val="0"/>
          <w:sz w:val="32"/>
          <w:szCs w:val="32"/>
          <w:highlight w:val="none"/>
          <w:lang w:val="en-US" w:eastAsia="zh-CN"/>
        </w:rPr>
        <w:t>4</w:t>
      </w:r>
      <w:r>
        <w:rPr>
          <w:rFonts w:hint="eastAsia" w:ascii="TimesNewRoman" w:hAnsi="TimesNewRoman" w:eastAsia="仿宋_GB2312" w:cs="TimesNewRoman"/>
          <w:kern w:val="0"/>
          <w:sz w:val="32"/>
          <w:szCs w:val="32"/>
          <w:highlight w:val="none"/>
        </w:rPr>
        <w:t>年预算</w:t>
      </w:r>
      <w:r>
        <w:rPr>
          <w:rFonts w:hint="eastAsia" w:ascii="TimesNewRoman" w:hAnsi="TimesNewRoman" w:eastAsia="仿宋_GB2312" w:cs="TimesNewRoman"/>
          <w:kern w:val="0"/>
          <w:sz w:val="32"/>
          <w:szCs w:val="32"/>
          <w:highlight w:val="none"/>
          <w:lang w:val="en-US" w:eastAsia="zh-CN"/>
        </w:rPr>
        <w:t>减少2.5</w:t>
      </w:r>
      <w:r>
        <w:rPr>
          <w:rFonts w:hint="eastAsia" w:ascii="TimesNewRoman" w:hAnsi="TimesNewRoman" w:eastAsia="仿宋_GB2312" w:cs="TimesNewRoman"/>
          <w:kern w:val="0"/>
          <w:sz w:val="32"/>
          <w:szCs w:val="32"/>
          <w:highlight w:val="none"/>
        </w:rPr>
        <w:t>万元，</w:t>
      </w:r>
      <w:r>
        <w:rPr>
          <w:rFonts w:hint="eastAsia" w:ascii="TimesNewRoman" w:hAnsi="TimesNewRoman" w:eastAsia="仿宋_GB2312" w:cs="TimesNewRoman"/>
          <w:kern w:val="0"/>
          <w:sz w:val="32"/>
          <w:szCs w:val="32"/>
          <w:highlight w:val="none"/>
          <w:lang w:val="en-US" w:eastAsia="zh-CN"/>
        </w:rPr>
        <w:t>下降14.03</w:t>
      </w:r>
      <w:r>
        <w:rPr>
          <w:rFonts w:hint="eastAsia" w:ascii="TimesNewRoman" w:hAnsi="TimesNewRoman" w:eastAsia="仿宋_GB2312" w:cs="TimesNewRoman"/>
          <w:kern w:val="0"/>
          <w:sz w:val="32"/>
          <w:szCs w:val="32"/>
          <w:highlight w:val="none"/>
        </w:rPr>
        <w:t>%，原因主要是</w:t>
      </w:r>
      <w:r>
        <w:rPr>
          <w:rFonts w:hint="eastAsia" w:ascii="TimesNewRoman" w:hAnsi="TimesNewRoman" w:eastAsia="仿宋_GB2312" w:cs="TimesNewRoman"/>
          <w:kern w:val="0"/>
          <w:sz w:val="32"/>
          <w:szCs w:val="32"/>
          <w:highlight w:val="none"/>
          <w:lang w:val="en-US" w:eastAsia="zh-CN"/>
        </w:rPr>
        <w:t>在职人员减少。</w:t>
      </w:r>
    </w:p>
    <w:p>
      <w:pPr>
        <w:ind w:firstLine="640" w:firstLineChars="200"/>
        <w:rPr>
          <w:rFonts w:hint="eastAsia" w:ascii="TimesNewRoman" w:hAnsi="TimesNewRoman" w:eastAsia="仿宋_GB2312" w:cs="TimesNewRoman"/>
          <w:kern w:val="0"/>
          <w:sz w:val="32"/>
          <w:szCs w:val="32"/>
          <w:highlight w:val="none"/>
          <w:lang w:val="en-US" w:eastAsia="zh-CN"/>
        </w:rPr>
      </w:pPr>
      <w:r>
        <w:rPr>
          <w:rFonts w:hint="eastAsia" w:ascii="TimesNewRoman" w:hAnsi="TimesNewRoman" w:eastAsia="仿宋_GB2312" w:cs="TimesNewRoman"/>
          <w:kern w:val="0"/>
          <w:sz w:val="32"/>
          <w:szCs w:val="32"/>
          <w:highlight w:val="none"/>
          <w:lang w:val="en-US" w:eastAsia="zh-CN"/>
        </w:rPr>
        <w:t>10</w:t>
      </w:r>
      <w:r>
        <w:rPr>
          <w:rFonts w:hint="eastAsia" w:ascii="TimesNewRoman" w:hAnsi="TimesNewRoman" w:eastAsia="仿宋_GB2312" w:cs="TimesNewRoman"/>
          <w:kern w:val="0"/>
          <w:sz w:val="32"/>
          <w:szCs w:val="32"/>
          <w:highlight w:val="none"/>
        </w:rPr>
        <w:t>、卫生健康支出（类）行政事业单位医疗（款）事业单位医疗（项）202</w:t>
      </w:r>
      <w:r>
        <w:rPr>
          <w:rFonts w:hint="eastAsia" w:ascii="TimesNewRoman" w:hAnsi="TimesNewRoman" w:eastAsia="仿宋_GB2312" w:cs="TimesNewRoman"/>
          <w:kern w:val="0"/>
          <w:sz w:val="32"/>
          <w:szCs w:val="32"/>
          <w:highlight w:val="none"/>
          <w:lang w:val="en-US" w:eastAsia="zh-CN"/>
        </w:rPr>
        <w:t>5</w:t>
      </w:r>
      <w:r>
        <w:rPr>
          <w:rFonts w:hint="eastAsia" w:ascii="TimesNewRoman" w:hAnsi="TimesNewRoman" w:eastAsia="仿宋_GB2312" w:cs="TimesNewRoman"/>
          <w:kern w:val="0"/>
          <w:sz w:val="32"/>
          <w:szCs w:val="32"/>
          <w:highlight w:val="none"/>
        </w:rPr>
        <w:t>年预算</w:t>
      </w:r>
      <w:r>
        <w:rPr>
          <w:rFonts w:hint="eastAsia" w:ascii="TimesNewRoman" w:hAnsi="TimesNewRoman" w:eastAsia="仿宋_GB2312" w:cs="TimesNewRoman"/>
          <w:kern w:val="0"/>
          <w:sz w:val="32"/>
          <w:szCs w:val="32"/>
          <w:highlight w:val="none"/>
          <w:lang w:val="en-US" w:eastAsia="zh-CN"/>
        </w:rPr>
        <w:t>14.07</w:t>
      </w:r>
      <w:r>
        <w:rPr>
          <w:rFonts w:hint="eastAsia" w:ascii="TimesNewRoman" w:hAnsi="TimesNewRoman" w:eastAsia="仿宋_GB2312" w:cs="TimesNewRoman"/>
          <w:kern w:val="0"/>
          <w:sz w:val="32"/>
          <w:szCs w:val="32"/>
          <w:highlight w:val="none"/>
        </w:rPr>
        <w:t>万元，比202</w:t>
      </w:r>
      <w:r>
        <w:rPr>
          <w:rFonts w:hint="eastAsia" w:ascii="TimesNewRoman" w:hAnsi="TimesNewRoman" w:eastAsia="仿宋_GB2312" w:cs="TimesNewRoman"/>
          <w:kern w:val="0"/>
          <w:sz w:val="32"/>
          <w:szCs w:val="32"/>
          <w:highlight w:val="none"/>
          <w:lang w:val="en-US" w:eastAsia="zh-CN"/>
        </w:rPr>
        <w:t>4</w:t>
      </w:r>
      <w:r>
        <w:rPr>
          <w:rFonts w:hint="eastAsia" w:ascii="TimesNewRoman" w:hAnsi="TimesNewRoman" w:eastAsia="仿宋_GB2312" w:cs="TimesNewRoman"/>
          <w:kern w:val="0"/>
          <w:sz w:val="32"/>
          <w:szCs w:val="32"/>
          <w:highlight w:val="none"/>
        </w:rPr>
        <w:t>年预算</w:t>
      </w:r>
      <w:r>
        <w:rPr>
          <w:rFonts w:hint="eastAsia" w:ascii="TimesNewRoman" w:hAnsi="TimesNewRoman" w:eastAsia="仿宋_GB2312" w:cs="TimesNewRoman"/>
          <w:kern w:val="0"/>
          <w:sz w:val="32"/>
          <w:szCs w:val="32"/>
          <w:highlight w:val="none"/>
          <w:lang w:val="en-US" w:eastAsia="zh-CN"/>
        </w:rPr>
        <w:t>减少3.14</w:t>
      </w:r>
      <w:r>
        <w:rPr>
          <w:rFonts w:hint="eastAsia" w:ascii="TimesNewRoman" w:hAnsi="TimesNewRoman" w:eastAsia="仿宋_GB2312" w:cs="TimesNewRoman"/>
          <w:kern w:val="0"/>
          <w:sz w:val="32"/>
          <w:szCs w:val="32"/>
          <w:highlight w:val="none"/>
        </w:rPr>
        <w:t>万元，</w:t>
      </w:r>
      <w:r>
        <w:rPr>
          <w:rFonts w:hint="eastAsia" w:ascii="TimesNewRoman" w:hAnsi="TimesNewRoman" w:eastAsia="仿宋_GB2312" w:cs="TimesNewRoman"/>
          <w:kern w:val="0"/>
          <w:sz w:val="32"/>
          <w:szCs w:val="32"/>
          <w:highlight w:val="none"/>
          <w:lang w:val="en-US" w:eastAsia="zh-CN"/>
        </w:rPr>
        <w:t>下降18.25</w:t>
      </w:r>
      <w:r>
        <w:rPr>
          <w:rFonts w:hint="eastAsia" w:ascii="TimesNewRoman" w:hAnsi="TimesNewRoman" w:eastAsia="仿宋_GB2312" w:cs="TimesNewRoman"/>
          <w:kern w:val="0"/>
          <w:sz w:val="32"/>
          <w:szCs w:val="32"/>
          <w:highlight w:val="none"/>
        </w:rPr>
        <w:t>%，原因主要是</w:t>
      </w:r>
      <w:r>
        <w:rPr>
          <w:rFonts w:hint="eastAsia" w:ascii="TimesNewRoman" w:hAnsi="TimesNewRoman" w:eastAsia="仿宋_GB2312" w:cs="TimesNewRoman"/>
          <w:kern w:val="0"/>
          <w:sz w:val="32"/>
          <w:szCs w:val="32"/>
          <w:highlight w:val="none"/>
          <w:lang w:val="en-US" w:eastAsia="zh-CN"/>
        </w:rPr>
        <w:t>在职人员减少。</w:t>
      </w:r>
    </w:p>
    <w:p>
      <w:pPr>
        <w:ind w:firstLine="640" w:firstLineChars="200"/>
        <w:rPr>
          <w:rFonts w:hint="eastAsia" w:ascii="TimesNewRoman" w:hAnsi="TimesNewRoman" w:eastAsia="仿宋_GB2312" w:cs="TimesNewRoman"/>
          <w:kern w:val="0"/>
          <w:sz w:val="32"/>
          <w:szCs w:val="32"/>
          <w:highlight w:val="none"/>
          <w:lang w:val="en-US" w:eastAsia="zh-CN"/>
        </w:rPr>
      </w:pPr>
      <w:r>
        <w:rPr>
          <w:rFonts w:hint="eastAsia" w:ascii="TimesNewRoman" w:hAnsi="TimesNewRoman" w:eastAsia="仿宋_GB2312" w:cs="TimesNewRoman"/>
          <w:kern w:val="0"/>
          <w:sz w:val="32"/>
          <w:szCs w:val="32"/>
          <w:highlight w:val="none"/>
          <w:lang w:val="en-US" w:eastAsia="zh-CN"/>
        </w:rPr>
        <w:t>11</w:t>
      </w:r>
      <w:r>
        <w:rPr>
          <w:rFonts w:hint="eastAsia" w:ascii="TimesNewRoman" w:hAnsi="TimesNewRoman" w:eastAsia="仿宋_GB2312" w:cs="TimesNewRoman"/>
          <w:kern w:val="0"/>
          <w:sz w:val="32"/>
          <w:szCs w:val="32"/>
          <w:highlight w:val="none"/>
        </w:rPr>
        <w:t>、卫生健康支出（类）行政事业单位医疗（款）公务员医疗补助（项）202</w:t>
      </w:r>
      <w:r>
        <w:rPr>
          <w:rFonts w:hint="eastAsia" w:ascii="TimesNewRoman" w:hAnsi="TimesNewRoman" w:eastAsia="仿宋_GB2312" w:cs="TimesNewRoman"/>
          <w:kern w:val="0"/>
          <w:sz w:val="32"/>
          <w:szCs w:val="32"/>
          <w:highlight w:val="none"/>
          <w:lang w:val="en-US" w:eastAsia="zh-CN"/>
        </w:rPr>
        <w:t>5</w:t>
      </w:r>
      <w:r>
        <w:rPr>
          <w:rFonts w:hint="eastAsia" w:ascii="TimesNewRoman" w:hAnsi="TimesNewRoman" w:eastAsia="仿宋_GB2312" w:cs="TimesNewRoman"/>
          <w:kern w:val="0"/>
          <w:sz w:val="32"/>
          <w:szCs w:val="32"/>
          <w:highlight w:val="none"/>
        </w:rPr>
        <w:t>年预算</w:t>
      </w:r>
      <w:r>
        <w:rPr>
          <w:rFonts w:hint="eastAsia" w:ascii="TimesNewRoman" w:hAnsi="TimesNewRoman" w:eastAsia="仿宋_GB2312" w:cs="TimesNewRoman"/>
          <w:kern w:val="0"/>
          <w:sz w:val="32"/>
          <w:szCs w:val="32"/>
          <w:highlight w:val="none"/>
          <w:lang w:val="en-US" w:eastAsia="zh-CN"/>
        </w:rPr>
        <w:t>21.67</w:t>
      </w:r>
      <w:r>
        <w:rPr>
          <w:rFonts w:hint="eastAsia" w:ascii="TimesNewRoman" w:hAnsi="TimesNewRoman" w:eastAsia="仿宋_GB2312" w:cs="TimesNewRoman"/>
          <w:kern w:val="0"/>
          <w:sz w:val="32"/>
          <w:szCs w:val="32"/>
          <w:highlight w:val="none"/>
        </w:rPr>
        <w:t>万元，比202</w:t>
      </w:r>
      <w:r>
        <w:rPr>
          <w:rFonts w:hint="eastAsia" w:ascii="TimesNewRoman" w:hAnsi="TimesNewRoman" w:eastAsia="仿宋_GB2312" w:cs="TimesNewRoman"/>
          <w:kern w:val="0"/>
          <w:sz w:val="32"/>
          <w:szCs w:val="32"/>
          <w:highlight w:val="none"/>
          <w:lang w:val="en-US" w:eastAsia="zh-CN"/>
        </w:rPr>
        <w:t>4</w:t>
      </w:r>
      <w:r>
        <w:rPr>
          <w:rFonts w:hint="eastAsia" w:ascii="TimesNewRoman" w:hAnsi="TimesNewRoman" w:eastAsia="仿宋_GB2312" w:cs="TimesNewRoman"/>
          <w:kern w:val="0"/>
          <w:sz w:val="32"/>
          <w:szCs w:val="32"/>
          <w:highlight w:val="none"/>
        </w:rPr>
        <w:t>年预算</w:t>
      </w:r>
      <w:r>
        <w:rPr>
          <w:rFonts w:hint="eastAsia" w:ascii="TimesNewRoman" w:hAnsi="TimesNewRoman" w:eastAsia="仿宋_GB2312" w:cs="TimesNewRoman"/>
          <w:kern w:val="0"/>
          <w:sz w:val="32"/>
          <w:szCs w:val="32"/>
          <w:highlight w:val="none"/>
          <w:lang w:val="en-US" w:eastAsia="zh-CN"/>
        </w:rPr>
        <w:t>增加0.13</w:t>
      </w:r>
      <w:r>
        <w:rPr>
          <w:rFonts w:hint="eastAsia" w:ascii="TimesNewRoman" w:hAnsi="TimesNewRoman" w:eastAsia="仿宋_GB2312" w:cs="TimesNewRoman"/>
          <w:kern w:val="0"/>
          <w:sz w:val="32"/>
          <w:szCs w:val="32"/>
          <w:highlight w:val="none"/>
        </w:rPr>
        <w:t>万元，</w:t>
      </w:r>
      <w:r>
        <w:rPr>
          <w:rFonts w:hint="eastAsia" w:ascii="TimesNewRoman" w:hAnsi="TimesNewRoman" w:eastAsia="仿宋_GB2312" w:cs="TimesNewRoman"/>
          <w:kern w:val="0"/>
          <w:sz w:val="32"/>
          <w:szCs w:val="32"/>
          <w:highlight w:val="none"/>
          <w:lang w:val="en-US" w:eastAsia="zh-CN"/>
        </w:rPr>
        <w:t>增长0.6</w:t>
      </w:r>
      <w:r>
        <w:rPr>
          <w:rFonts w:hint="eastAsia" w:ascii="TimesNewRoman" w:hAnsi="TimesNewRoman" w:eastAsia="仿宋_GB2312" w:cs="TimesNewRoman"/>
          <w:kern w:val="0"/>
          <w:sz w:val="32"/>
          <w:szCs w:val="32"/>
          <w:highlight w:val="none"/>
        </w:rPr>
        <w:t>%，原因主要是</w:t>
      </w:r>
      <w:r>
        <w:rPr>
          <w:rFonts w:hint="eastAsia" w:ascii="TimesNewRoman" w:hAnsi="TimesNewRoman" w:eastAsia="仿宋_GB2312" w:cs="TimesNewRoman"/>
          <w:kern w:val="0"/>
          <w:sz w:val="32"/>
          <w:szCs w:val="32"/>
          <w:highlight w:val="none"/>
          <w:lang w:val="en-US" w:eastAsia="zh-CN"/>
        </w:rPr>
        <w:t>缴费基数增加。</w:t>
      </w:r>
    </w:p>
    <w:p>
      <w:pPr>
        <w:ind w:firstLine="640" w:firstLineChars="200"/>
        <w:rPr>
          <w:rFonts w:hint="eastAsia" w:ascii="TimesNewRoman" w:hAnsi="TimesNewRoman" w:eastAsia="仿宋_GB2312" w:cs="TimesNewRoman"/>
          <w:kern w:val="0"/>
          <w:sz w:val="32"/>
          <w:szCs w:val="32"/>
          <w:highlight w:val="none"/>
          <w:lang w:val="en-US" w:eastAsia="zh-CN"/>
        </w:rPr>
      </w:pPr>
      <w:r>
        <w:rPr>
          <w:rFonts w:hint="eastAsia" w:ascii="TimesNewRoman" w:hAnsi="TimesNewRoman" w:eastAsia="仿宋_GB2312" w:cs="TimesNewRoman"/>
          <w:kern w:val="0"/>
          <w:sz w:val="32"/>
          <w:szCs w:val="32"/>
          <w:highlight w:val="none"/>
          <w:lang w:val="en-US" w:eastAsia="zh-CN"/>
        </w:rPr>
        <w:t>12</w:t>
      </w:r>
      <w:r>
        <w:rPr>
          <w:rFonts w:hint="eastAsia" w:ascii="TimesNewRoman" w:hAnsi="TimesNewRoman" w:eastAsia="仿宋_GB2312" w:cs="TimesNewRoman"/>
          <w:kern w:val="0"/>
          <w:sz w:val="32"/>
          <w:szCs w:val="32"/>
          <w:highlight w:val="none"/>
        </w:rPr>
        <w:t>、住房保障支出（类）住房改革支出（款）住房公积金（项）202</w:t>
      </w:r>
      <w:r>
        <w:rPr>
          <w:rFonts w:hint="eastAsia" w:ascii="TimesNewRoman" w:hAnsi="TimesNewRoman" w:eastAsia="仿宋_GB2312" w:cs="TimesNewRoman"/>
          <w:kern w:val="0"/>
          <w:sz w:val="32"/>
          <w:szCs w:val="32"/>
          <w:highlight w:val="none"/>
          <w:lang w:val="en-US" w:eastAsia="zh-CN"/>
        </w:rPr>
        <w:t>5</w:t>
      </w:r>
      <w:r>
        <w:rPr>
          <w:rFonts w:hint="eastAsia" w:ascii="TimesNewRoman" w:hAnsi="TimesNewRoman" w:eastAsia="仿宋_GB2312" w:cs="TimesNewRoman"/>
          <w:kern w:val="0"/>
          <w:sz w:val="32"/>
          <w:szCs w:val="32"/>
          <w:highlight w:val="none"/>
        </w:rPr>
        <w:t>年预算</w:t>
      </w:r>
      <w:r>
        <w:rPr>
          <w:rFonts w:hint="eastAsia" w:ascii="TimesNewRoman" w:hAnsi="TimesNewRoman" w:eastAsia="仿宋_GB2312" w:cs="TimesNewRoman"/>
          <w:kern w:val="0"/>
          <w:sz w:val="32"/>
          <w:szCs w:val="32"/>
          <w:highlight w:val="none"/>
          <w:lang w:val="en-US" w:eastAsia="zh-CN"/>
        </w:rPr>
        <w:t>91.87</w:t>
      </w:r>
      <w:r>
        <w:rPr>
          <w:rFonts w:hint="eastAsia" w:ascii="TimesNewRoman" w:hAnsi="TimesNewRoman" w:eastAsia="仿宋_GB2312" w:cs="TimesNewRoman"/>
          <w:kern w:val="0"/>
          <w:sz w:val="32"/>
          <w:szCs w:val="32"/>
          <w:highlight w:val="none"/>
        </w:rPr>
        <w:t>万元，比202</w:t>
      </w:r>
      <w:r>
        <w:rPr>
          <w:rFonts w:hint="eastAsia" w:ascii="TimesNewRoman" w:hAnsi="TimesNewRoman" w:eastAsia="仿宋_GB2312" w:cs="TimesNewRoman"/>
          <w:kern w:val="0"/>
          <w:sz w:val="32"/>
          <w:szCs w:val="32"/>
          <w:highlight w:val="none"/>
          <w:lang w:val="en-US" w:eastAsia="zh-CN"/>
        </w:rPr>
        <w:t>4</w:t>
      </w:r>
      <w:r>
        <w:rPr>
          <w:rFonts w:hint="eastAsia" w:ascii="TimesNewRoman" w:hAnsi="TimesNewRoman" w:eastAsia="仿宋_GB2312" w:cs="TimesNewRoman"/>
          <w:kern w:val="0"/>
          <w:sz w:val="32"/>
          <w:szCs w:val="32"/>
          <w:highlight w:val="none"/>
        </w:rPr>
        <w:t>年预算</w:t>
      </w:r>
      <w:r>
        <w:rPr>
          <w:rFonts w:hint="eastAsia" w:ascii="TimesNewRoman" w:hAnsi="TimesNewRoman" w:eastAsia="仿宋_GB2312" w:cs="TimesNewRoman"/>
          <w:kern w:val="0"/>
          <w:sz w:val="32"/>
          <w:szCs w:val="32"/>
          <w:highlight w:val="none"/>
          <w:lang w:val="en-US" w:eastAsia="zh-CN"/>
        </w:rPr>
        <w:t>减少2.52</w:t>
      </w:r>
      <w:r>
        <w:rPr>
          <w:rFonts w:hint="eastAsia" w:ascii="TimesNewRoman" w:hAnsi="TimesNewRoman" w:eastAsia="仿宋_GB2312" w:cs="TimesNewRoman"/>
          <w:kern w:val="0"/>
          <w:sz w:val="32"/>
          <w:szCs w:val="32"/>
          <w:highlight w:val="none"/>
        </w:rPr>
        <w:t>万元，</w:t>
      </w:r>
      <w:r>
        <w:rPr>
          <w:rFonts w:hint="eastAsia" w:ascii="TimesNewRoman" w:hAnsi="TimesNewRoman" w:eastAsia="仿宋_GB2312" w:cs="TimesNewRoman"/>
          <w:kern w:val="0"/>
          <w:sz w:val="32"/>
          <w:szCs w:val="32"/>
          <w:highlight w:val="none"/>
          <w:lang w:val="en-US" w:eastAsia="zh-CN"/>
        </w:rPr>
        <w:t>下降2.67</w:t>
      </w:r>
      <w:r>
        <w:rPr>
          <w:rFonts w:hint="eastAsia" w:ascii="TimesNewRoman" w:hAnsi="TimesNewRoman" w:eastAsia="仿宋_GB2312" w:cs="TimesNewRoman"/>
          <w:kern w:val="0"/>
          <w:sz w:val="32"/>
          <w:szCs w:val="32"/>
          <w:highlight w:val="none"/>
        </w:rPr>
        <w:t>%，原因主要是</w:t>
      </w:r>
      <w:r>
        <w:rPr>
          <w:rFonts w:hint="eastAsia" w:ascii="TimesNewRoman" w:hAnsi="TimesNewRoman" w:eastAsia="仿宋_GB2312" w:cs="TimesNewRoman"/>
          <w:kern w:val="0"/>
          <w:sz w:val="32"/>
          <w:szCs w:val="32"/>
          <w:highlight w:val="none"/>
          <w:lang w:val="en-US" w:eastAsia="zh-CN"/>
        </w:rPr>
        <w:t>在职人员减少。</w:t>
      </w:r>
    </w:p>
    <w:p>
      <w:pPr>
        <w:ind w:firstLine="640" w:firstLineChars="200"/>
        <w:rPr>
          <w:rFonts w:hint="eastAsia" w:ascii="TimesNewRoman" w:hAnsi="TimesNewRoman" w:eastAsia="仿宋_GB2312" w:cs="TimesNewRoman"/>
          <w:kern w:val="0"/>
          <w:sz w:val="32"/>
          <w:szCs w:val="32"/>
          <w:highlight w:val="none"/>
          <w:lang w:val="en-US" w:eastAsia="zh-CN"/>
        </w:rPr>
      </w:pPr>
      <w:r>
        <w:rPr>
          <w:rFonts w:hint="eastAsia" w:ascii="TimesNewRoman" w:hAnsi="TimesNewRoman" w:eastAsia="仿宋_GB2312" w:cs="TimesNewRoman"/>
          <w:kern w:val="0"/>
          <w:sz w:val="32"/>
          <w:szCs w:val="32"/>
          <w:highlight w:val="none"/>
          <w:lang w:val="en-US" w:eastAsia="zh-CN"/>
        </w:rPr>
        <w:t>13</w:t>
      </w:r>
      <w:r>
        <w:rPr>
          <w:rFonts w:hint="eastAsia" w:ascii="TimesNewRoman" w:hAnsi="TimesNewRoman" w:eastAsia="仿宋_GB2312" w:cs="TimesNewRoman"/>
          <w:kern w:val="0"/>
          <w:sz w:val="32"/>
          <w:szCs w:val="32"/>
          <w:highlight w:val="none"/>
        </w:rPr>
        <w:t>、住房保障支出（类）住房改革支出（款）提租补贴（项）202</w:t>
      </w:r>
      <w:r>
        <w:rPr>
          <w:rFonts w:hint="eastAsia" w:ascii="TimesNewRoman" w:hAnsi="TimesNewRoman" w:eastAsia="仿宋_GB2312" w:cs="TimesNewRoman"/>
          <w:kern w:val="0"/>
          <w:sz w:val="32"/>
          <w:szCs w:val="32"/>
          <w:highlight w:val="none"/>
          <w:lang w:val="en-US" w:eastAsia="zh-CN"/>
        </w:rPr>
        <w:t>5</w:t>
      </w:r>
      <w:r>
        <w:rPr>
          <w:rFonts w:hint="eastAsia" w:ascii="TimesNewRoman" w:hAnsi="TimesNewRoman" w:eastAsia="仿宋_GB2312" w:cs="TimesNewRoman"/>
          <w:kern w:val="0"/>
          <w:sz w:val="32"/>
          <w:szCs w:val="32"/>
          <w:highlight w:val="none"/>
        </w:rPr>
        <w:t>年预算</w:t>
      </w:r>
      <w:r>
        <w:rPr>
          <w:rFonts w:hint="eastAsia" w:ascii="TimesNewRoman" w:hAnsi="TimesNewRoman" w:eastAsia="仿宋_GB2312" w:cs="TimesNewRoman"/>
          <w:kern w:val="0"/>
          <w:sz w:val="32"/>
          <w:szCs w:val="32"/>
          <w:highlight w:val="none"/>
          <w:lang w:val="en-US" w:eastAsia="zh-CN"/>
        </w:rPr>
        <w:t>36.01</w:t>
      </w:r>
      <w:r>
        <w:rPr>
          <w:rFonts w:hint="eastAsia" w:ascii="TimesNewRoman" w:hAnsi="TimesNewRoman" w:eastAsia="仿宋_GB2312" w:cs="TimesNewRoman"/>
          <w:kern w:val="0"/>
          <w:sz w:val="32"/>
          <w:szCs w:val="32"/>
          <w:highlight w:val="none"/>
        </w:rPr>
        <w:t>万元，比202</w:t>
      </w:r>
      <w:r>
        <w:rPr>
          <w:rFonts w:hint="eastAsia" w:ascii="TimesNewRoman" w:hAnsi="TimesNewRoman" w:eastAsia="仿宋_GB2312" w:cs="TimesNewRoman"/>
          <w:kern w:val="0"/>
          <w:sz w:val="32"/>
          <w:szCs w:val="32"/>
          <w:highlight w:val="none"/>
          <w:lang w:val="en-US" w:eastAsia="zh-CN"/>
        </w:rPr>
        <w:t>4</w:t>
      </w:r>
      <w:r>
        <w:rPr>
          <w:rFonts w:hint="eastAsia" w:ascii="TimesNewRoman" w:hAnsi="TimesNewRoman" w:eastAsia="仿宋_GB2312" w:cs="TimesNewRoman"/>
          <w:kern w:val="0"/>
          <w:sz w:val="32"/>
          <w:szCs w:val="32"/>
          <w:highlight w:val="none"/>
        </w:rPr>
        <w:t>年预算</w:t>
      </w:r>
      <w:r>
        <w:rPr>
          <w:rFonts w:hint="eastAsia" w:ascii="TimesNewRoman" w:hAnsi="TimesNewRoman" w:eastAsia="仿宋_GB2312" w:cs="TimesNewRoman"/>
          <w:kern w:val="0"/>
          <w:sz w:val="32"/>
          <w:szCs w:val="32"/>
          <w:highlight w:val="none"/>
          <w:lang w:val="en-US" w:eastAsia="zh-CN"/>
        </w:rPr>
        <w:t>增加12.41</w:t>
      </w:r>
      <w:r>
        <w:rPr>
          <w:rFonts w:hint="eastAsia" w:ascii="TimesNewRoman" w:hAnsi="TimesNewRoman" w:eastAsia="仿宋_GB2312" w:cs="TimesNewRoman"/>
          <w:kern w:val="0"/>
          <w:sz w:val="32"/>
          <w:szCs w:val="32"/>
          <w:highlight w:val="none"/>
        </w:rPr>
        <w:t>万元，</w:t>
      </w:r>
      <w:r>
        <w:rPr>
          <w:rFonts w:hint="eastAsia" w:ascii="TimesNewRoman" w:hAnsi="TimesNewRoman" w:eastAsia="仿宋_GB2312" w:cs="TimesNewRoman"/>
          <w:kern w:val="0"/>
          <w:sz w:val="32"/>
          <w:szCs w:val="32"/>
          <w:highlight w:val="none"/>
          <w:lang w:val="en-US" w:eastAsia="zh-CN"/>
        </w:rPr>
        <w:t>增长52.58</w:t>
      </w:r>
      <w:r>
        <w:rPr>
          <w:rFonts w:hint="eastAsia" w:ascii="TimesNewRoman" w:hAnsi="TimesNewRoman" w:eastAsia="仿宋_GB2312" w:cs="TimesNewRoman"/>
          <w:kern w:val="0"/>
          <w:sz w:val="32"/>
          <w:szCs w:val="32"/>
          <w:highlight w:val="none"/>
        </w:rPr>
        <w:t>%，</w:t>
      </w:r>
      <w:r>
        <w:rPr>
          <w:rFonts w:hint="eastAsia" w:ascii="TimesNewRoman" w:hAnsi="TimesNewRoman" w:eastAsia="仿宋_GB2312" w:cs="TimesNewRoman"/>
          <w:kern w:val="0"/>
          <w:sz w:val="32"/>
          <w:szCs w:val="32"/>
          <w:highlight w:val="none"/>
        </w:rPr>
        <w:t>原因主要是</w:t>
      </w:r>
      <w:r>
        <w:rPr>
          <w:rFonts w:hint="eastAsia" w:ascii="TimesNewRoman" w:hAnsi="TimesNewRoman" w:eastAsia="仿宋_GB2312" w:cs="TimesNewRoman"/>
          <w:kern w:val="0"/>
          <w:sz w:val="32"/>
          <w:szCs w:val="32"/>
          <w:highlight w:val="none"/>
          <w:lang w:val="en-US" w:eastAsia="zh-CN"/>
        </w:rPr>
        <w:t>退休人员提租补贴支出功能科目变更。</w:t>
      </w:r>
    </w:p>
    <w:p>
      <w:pPr>
        <w:ind w:firstLine="640" w:firstLineChars="200"/>
        <w:rPr>
          <w:rFonts w:hint="eastAsia" w:ascii="TimesNewRoman" w:hAnsi="TimesNewRoman" w:eastAsia="仿宋_GB2312" w:cs="TimesNewRoman"/>
          <w:kern w:val="0"/>
          <w:sz w:val="32"/>
          <w:szCs w:val="32"/>
          <w:highlight w:val="none"/>
          <w:lang w:val="en-US" w:eastAsia="zh-CN"/>
        </w:rPr>
      </w:pPr>
      <w:r>
        <w:rPr>
          <w:rFonts w:hint="eastAsia" w:ascii="TimesNewRoman" w:hAnsi="TimesNewRoman" w:eastAsia="仿宋_GB2312" w:cs="TimesNewRoman"/>
          <w:kern w:val="0"/>
          <w:sz w:val="32"/>
          <w:szCs w:val="32"/>
          <w:highlight w:val="none"/>
          <w:lang w:val="en-US" w:eastAsia="zh-CN"/>
        </w:rPr>
        <w:t>14</w:t>
      </w:r>
      <w:r>
        <w:rPr>
          <w:rFonts w:hint="eastAsia" w:ascii="TimesNewRoman" w:hAnsi="TimesNewRoman" w:eastAsia="仿宋_GB2312" w:cs="TimesNewRoman"/>
          <w:kern w:val="0"/>
          <w:sz w:val="32"/>
          <w:szCs w:val="32"/>
          <w:highlight w:val="none"/>
        </w:rPr>
        <w:t>、住房保障支出（类）住房改革支出（款）购房补贴（项）202</w:t>
      </w:r>
      <w:r>
        <w:rPr>
          <w:rFonts w:hint="eastAsia" w:ascii="TimesNewRoman" w:hAnsi="TimesNewRoman" w:eastAsia="仿宋_GB2312" w:cs="TimesNewRoman"/>
          <w:kern w:val="0"/>
          <w:sz w:val="32"/>
          <w:szCs w:val="32"/>
          <w:highlight w:val="none"/>
          <w:lang w:val="en-US" w:eastAsia="zh-CN"/>
        </w:rPr>
        <w:t>5</w:t>
      </w:r>
      <w:r>
        <w:rPr>
          <w:rFonts w:hint="eastAsia" w:ascii="TimesNewRoman" w:hAnsi="TimesNewRoman" w:eastAsia="仿宋_GB2312" w:cs="TimesNewRoman"/>
          <w:kern w:val="0"/>
          <w:sz w:val="32"/>
          <w:szCs w:val="32"/>
          <w:highlight w:val="none"/>
        </w:rPr>
        <w:t>年预算</w:t>
      </w:r>
      <w:r>
        <w:rPr>
          <w:rFonts w:hint="eastAsia" w:ascii="TimesNewRoman" w:hAnsi="TimesNewRoman" w:eastAsia="仿宋_GB2312" w:cs="TimesNewRoman"/>
          <w:kern w:val="0"/>
          <w:sz w:val="32"/>
          <w:szCs w:val="32"/>
          <w:highlight w:val="none"/>
          <w:lang w:val="en-US" w:eastAsia="zh-CN"/>
        </w:rPr>
        <w:t>38.28</w:t>
      </w:r>
      <w:r>
        <w:rPr>
          <w:rFonts w:hint="eastAsia" w:ascii="TimesNewRoman" w:hAnsi="TimesNewRoman" w:eastAsia="仿宋_GB2312" w:cs="TimesNewRoman"/>
          <w:kern w:val="0"/>
          <w:sz w:val="32"/>
          <w:szCs w:val="32"/>
          <w:highlight w:val="none"/>
        </w:rPr>
        <w:t>万元，比202</w:t>
      </w:r>
      <w:r>
        <w:rPr>
          <w:rFonts w:hint="eastAsia" w:ascii="TimesNewRoman" w:hAnsi="TimesNewRoman" w:eastAsia="仿宋_GB2312" w:cs="TimesNewRoman"/>
          <w:kern w:val="0"/>
          <w:sz w:val="32"/>
          <w:szCs w:val="32"/>
          <w:highlight w:val="none"/>
          <w:lang w:val="en-US" w:eastAsia="zh-CN"/>
        </w:rPr>
        <w:t>4</w:t>
      </w:r>
      <w:r>
        <w:rPr>
          <w:rFonts w:hint="eastAsia" w:ascii="TimesNewRoman" w:hAnsi="TimesNewRoman" w:eastAsia="仿宋_GB2312" w:cs="TimesNewRoman"/>
          <w:kern w:val="0"/>
          <w:sz w:val="32"/>
          <w:szCs w:val="32"/>
          <w:highlight w:val="none"/>
        </w:rPr>
        <w:t>年预算</w:t>
      </w:r>
      <w:r>
        <w:rPr>
          <w:rFonts w:hint="eastAsia" w:ascii="TimesNewRoman" w:hAnsi="TimesNewRoman" w:eastAsia="仿宋_GB2312" w:cs="TimesNewRoman"/>
          <w:kern w:val="0"/>
          <w:sz w:val="32"/>
          <w:szCs w:val="32"/>
          <w:highlight w:val="none"/>
          <w:lang w:val="en-US" w:eastAsia="zh-CN"/>
        </w:rPr>
        <w:t>减少1.05</w:t>
      </w:r>
      <w:r>
        <w:rPr>
          <w:rFonts w:hint="eastAsia" w:ascii="TimesNewRoman" w:hAnsi="TimesNewRoman" w:eastAsia="仿宋_GB2312" w:cs="TimesNewRoman"/>
          <w:kern w:val="0"/>
          <w:sz w:val="32"/>
          <w:szCs w:val="32"/>
          <w:highlight w:val="none"/>
        </w:rPr>
        <w:t>万元，</w:t>
      </w:r>
      <w:r>
        <w:rPr>
          <w:rFonts w:hint="eastAsia" w:ascii="TimesNewRoman" w:hAnsi="TimesNewRoman" w:eastAsia="仿宋_GB2312" w:cs="TimesNewRoman"/>
          <w:kern w:val="0"/>
          <w:sz w:val="32"/>
          <w:szCs w:val="32"/>
          <w:highlight w:val="none"/>
          <w:lang w:val="en-US" w:eastAsia="zh-CN"/>
        </w:rPr>
        <w:t>下降2.67</w:t>
      </w:r>
      <w:r>
        <w:rPr>
          <w:rFonts w:hint="eastAsia" w:ascii="TimesNewRoman" w:hAnsi="TimesNewRoman" w:eastAsia="仿宋_GB2312" w:cs="TimesNewRoman"/>
          <w:kern w:val="0"/>
          <w:sz w:val="32"/>
          <w:szCs w:val="32"/>
          <w:highlight w:val="none"/>
        </w:rPr>
        <w:t>%，原因主要是</w:t>
      </w:r>
      <w:r>
        <w:rPr>
          <w:rFonts w:hint="eastAsia" w:ascii="TimesNewRoman" w:hAnsi="TimesNewRoman" w:eastAsia="仿宋_GB2312" w:cs="TimesNewRoman"/>
          <w:kern w:val="0"/>
          <w:sz w:val="32"/>
          <w:szCs w:val="32"/>
          <w:highlight w:val="none"/>
          <w:lang w:val="en-US" w:eastAsia="zh-CN"/>
        </w:rPr>
        <w:t>在职人员减少。</w:t>
      </w:r>
    </w:p>
    <w:p>
      <w:pPr>
        <w:pStyle w:val="7"/>
        <w:adjustRightInd w:val="0"/>
        <w:snapToGrid w:val="0"/>
        <w:spacing w:line="560" w:lineRule="exact"/>
        <w:ind w:firstLine="627" w:firstLineChars="196"/>
        <w:rPr>
          <w:rFonts w:ascii="TimesNewRoman" w:hAnsi="TimesNewRoman" w:eastAsia="黑体" w:cs="TimesNewRoman"/>
          <w:bCs/>
          <w:sz w:val="32"/>
          <w:szCs w:val="32"/>
          <w:highlight w:val="none"/>
        </w:rPr>
      </w:pPr>
      <w:r>
        <w:rPr>
          <w:rFonts w:hint="eastAsia" w:ascii="TimesNewRoman" w:hAnsi="TimesNewRoman" w:eastAsia="黑体" w:cs="TimesNewRoman"/>
          <w:bCs/>
          <w:sz w:val="32"/>
          <w:szCs w:val="32"/>
          <w:highlight w:val="none"/>
        </w:rPr>
        <w:t>六、关于2025年一般公共预算基本支出表的说明</w:t>
      </w: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lang w:eastAsia="zh-CN"/>
        </w:rPr>
        <w:t>淮北市商务局</w:t>
      </w:r>
      <w:r>
        <w:rPr>
          <w:rFonts w:hint="eastAsia" w:ascii="TimesNewRoman" w:hAnsi="TimesNewRoman" w:eastAsia="仿宋_GB2312" w:cs="TimesNewRoman"/>
          <w:kern w:val="0"/>
          <w:sz w:val="32"/>
          <w:szCs w:val="32"/>
          <w:highlight w:val="none"/>
        </w:rPr>
        <w:t>2025年一般公共预算基本支出</w:t>
      </w:r>
      <w:r>
        <w:rPr>
          <w:rFonts w:hint="eastAsia" w:ascii="TimesNewRoman" w:hAnsi="TimesNewRoman" w:eastAsia="仿宋_GB2312" w:cs="TimesNewRoman"/>
          <w:kern w:val="0"/>
          <w:sz w:val="32"/>
          <w:szCs w:val="32"/>
          <w:highlight w:val="none"/>
          <w:lang w:val="en-US" w:eastAsia="zh-CN"/>
        </w:rPr>
        <w:t>1214.51</w:t>
      </w:r>
      <w:r>
        <w:rPr>
          <w:rFonts w:hint="eastAsia" w:ascii="TimesNewRoman" w:hAnsi="TimesNewRoman" w:eastAsia="仿宋_GB2312" w:cs="TimesNewRoman"/>
          <w:kern w:val="0"/>
          <w:sz w:val="32"/>
          <w:szCs w:val="32"/>
          <w:highlight w:val="none"/>
        </w:rPr>
        <w:t>万元，其中，人员经费</w:t>
      </w:r>
      <w:r>
        <w:rPr>
          <w:rFonts w:hint="eastAsia" w:ascii="TimesNewRoman" w:hAnsi="TimesNewRoman" w:eastAsia="仿宋_GB2312" w:cs="TimesNewRoman"/>
          <w:kern w:val="0"/>
          <w:sz w:val="32"/>
          <w:szCs w:val="32"/>
          <w:highlight w:val="none"/>
          <w:lang w:val="en-US" w:eastAsia="zh-CN"/>
        </w:rPr>
        <w:t>1119.26</w:t>
      </w:r>
      <w:r>
        <w:rPr>
          <w:rFonts w:hint="eastAsia" w:ascii="TimesNewRoman" w:hAnsi="TimesNewRoman" w:eastAsia="仿宋_GB2312" w:cs="TimesNewRoman"/>
          <w:kern w:val="0"/>
          <w:sz w:val="32"/>
          <w:szCs w:val="32"/>
          <w:highlight w:val="none"/>
        </w:rPr>
        <w:t>万元，公用经费</w:t>
      </w:r>
      <w:r>
        <w:rPr>
          <w:rFonts w:hint="eastAsia" w:ascii="TimesNewRoman" w:hAnsi="TimesNewRoman" w:eastAsia="仿宋_GB2312" w:cs="TimesNewRoman"/>
          <w:kern w:val="0"/>
          <w:sz w:val="32"/>
          <w:szCs w:val="32"/>
          <w:highlight w:val="none"/>
          <w:lang w:val="en-US" w:eastAsia="zh-CN"/>
        </w:rPr>
        <w:t>95.24</w:t>
      </w:r>
      <w:r>
        <w:rPr>
          <w:rFonts w:hint="eastAsia" w:ascii="TimesNewRoman" w:hAnsi="TimesNewRoman" w:eastAsia="仿宋_GB2312" w:cs="TimesNewRoman"/>
          <w:kern w:val="0"/>
          <w:sz w:val="32"/>
          <w:szCs w:val="32"/>
          <w:highlight w:val="none"/>
        </w:rPr>
        <w:t>万元。</w:t>
      </w:r>
    </w:p>
    <w:p>
      <w:pPr>
        <w:ind w:firstLine="643"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b/>
          <w:kern w:val="0"/>
          <w:sz w:val="32"/>
          <w:szCs w:val="32"/>
          <w:highlight w:val="none"/>
        </w:rPr>
        <w:t>（一）人员经费</w:t>
      </w:r>
      <w:r>
        <w:rPr>
          <w:rFonts w:hint="eastAsia" w:ascii="TimesNewRoman" w:hAnsi="TimesNewRoman" w:eastAsia="仿宋_GB2312" w:cs="TimesNewRoman"/>
          <w:b/>
          <w:kern w:val="0"/>
          <w:sz w:val="32"/>
          <w:szCs w:val="32"/>
          <w:highlight w:val="none"/>
          <w:lang w:val="en-US" w:eastAsia="zh-CN"/>
        </w:rPr>
        <w:t>1119.26</w:t>
      </w:r>
      <w:r>
        <w:rPr>
          <w:rFonts w:hint="eastAsia" w:ascii="TimesNewRoman" w:hAnsi="TimesNewRoman" w:eastAsia="仿宋_GB2312" w:cs="TimesNewRoman"/>
          <w:b/>
          <w:kern w:val="0"/>
          <w:sz w:val="32"/>
          <w:szCs w:val="32"/>
          <w:highlight w:val="none"/>
        </w:rPr>
        <w:t>万元，</w:t>
      </w:r>
      <w:r>
        <w:rPr>
          <w:rFonts w:hint="eastAsia" w:ascii="TimesNewRoman" w:hAnsi="TimesNewRoman" w:eastAsia="仿宋_GB2312" w:cs="TimesNewRoman"/>
          <w:kern w:val="0"/>
          <w:sz w:val="32"/>
          <w:szCs w:val="32"/>
          <w:highlight w:val="none"/>
        </w:rPr>
        <w:t>主要包括:基本工资、津贴补贴、奖金、绩效工资、机关事业单位基本养老保险费、职业年金缴费、职工基本医疗保险缴费、公务员医疗补助缴费、其他社会保障缴费、工会经费、福利费、住房公积金、其他工资福利支出、</w:t>
      </w:r>
      <w:r>
        <w:rPr>
          <w:rFonts w:hint="eastAsia" w:ascii="TimesNewRoman" w:hAnsi="TimesNewRoman" w:eastAsia="仿宋_GB2312" w:cs="TimesNewRoman"/>
          <w:kern w:val="0"/>
          <w:sz w:val="32"/>
          <w:szCs w:val="32"/>
          <w:highlight w:val="none"/>
          <w:lang w:val="en-US" w:eastAsia="zh-CN"/>
        </w:rPr>
        <w:t>办公费、其他商品和服务支出、</w:t>
      </w:r>
      <w:r>
        <w:rPr>
          <w:rFonts w:hint="eastAsia" w:ascii="TimesNewRoman" w:hAnsi="TimesNewRoman" w:eastAsia="仿宋_GB2312" w:cs="TimesNewRoman"/>
          <w:kern w:val="0"/>
          <w:sz w:val="32"/>
          <w:szCs w:val="32"/>
          <w:highlight w:val="none"/>
        </w:rPr>
        <w:t>退休费、生活补助、医疗费补助、</w:t>
      </w:r>
      <w:r>
        <w:rPr>
          <w:rFonts w:hint="eastAsia" w:ascii="TimesNewRoman" w:hAnsi="TimesNewRoman" w:eastAsia="仿宋_GB2312" w:cs="TimesNewRoman"/>
          <w:kern w:val="0"/>
          <w:sz w:val="32"/>
          <w:szCs w:val="32"/>
          <w:highlight w:val="none"/>
          <w:lang w:val="en-US" w:eastAsia="zh-CN"/>
        </w:rPr>
        <w:t>奖励</w:t>
      </w:r>
      <w:r>
        <w:rPr>
          <w:rFonts w:hint="eastAsia" w:ascii="TimesNewRoman" w:hAnsi="TimesNewRoman" w:eastAsia="仿宋_GB2312" w:cs="TimesNewRoman"/>
          <w:kern w:val="0"/>
          <w:sz w:val="32"/>
          <w:szCs w:val="32"/>
          <w:highlight w:val="none"/>
        </w:rPr>
        <w:t>金、对其他个人和家庭的补助支出。</w:t>
      </w:r>
    </w:p>
    <w:p>
      <w:pPr>
        <w:ind w:firstLine="643"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b/>
          <w:kern w:val="0"/>
          <w:sz w:val="32"/>
          <w:szCs w:val="32"/>
          <w:highlight w:val="none"/>
        </w:rPr>
        <w:t>（二）公用经费</w:t>
      </w:r>
      <w:r>
        <w:rPr>
          <w:rFonts w:hint="eastAsia" w:ascii="TimesNewRoman" w:hAnsi="TimesNewRoman" w:eastAsia="仿宋_GB2312" w:cs="TimesNewRoman"/>
          <w:b/>
          <w:kern w:val="0"/>
          <w:sz w:val="32"/>
          <w:szCs w:val="32"/>
          <w:highlight w:val="none"/>
          <w:lang w:val="en-US" w:eastAsia="zh-CN"/>
        </w:rPr>
        <w:t>95.24</w:t>
      </w:r>
      <w:r>
        <w:rPr>
          <w:rFonts w:hint="eastAsia" w:ascii="TimesNewRoman" w:hAnsi="TimesNewRoman" w:eastAsia="仿宋_GB2312" w:cs="TimesNewRoman"/>
          <w:b/>
          <w:kern w:val="0"/>
          <w:sz w:val="32"/>
          <w:szCs w:val="32"/>
          <w:highlight w:val="none"/>
        </w:rPr>
        <w:t>万元，</w:t>
      </w:r>
      <w:r>
        <w:rPr>
          <w:rFonts w:hint="eastAsia" w:ascii="TimesNewRoman" w:hAnsi="TimesNewRoman" w:eastAsia="仿宋_GB2312" w:cs="TimesNewRoman"/>
          <w:kern w:val="0"/>
          <w:sz w:val="32"/>
          <w:szCs w:val="32"/>
          <w:highlight w:val="none"/>
        </w:rPr>
        <w:t>主要包括：办公费、公务接待费、劳务费、其他交通费用、其他商品服务支出。</w:t>
      </w:r>
    </w:p>
    <w:p>
      <w:pPr>
        <w:pStyle w:val="7"/>
        <w:adjustRightInd w:val="0"/>
        <w:snapToGrid w:val="0"/>
        <w:spacing w:line="560" w:lineRule="exact"/>
        <w:ind w:firstLine="627" w:firstLineChars="196"/>
        <w:rPr>
          <w:rFonts w:ascii="TimesNewRoman" w:hAnsi="TimesNewRoman" w:eastAsia="黑体" w:cs="TimesNewRoman"/>
          <w:bCs/>
          <w:sz w:val="32"/>
          <w:szCs w:val="32"/>
          <w:highlight w:val="none"/>
        </w:rPr>
      </w:pPr>
      <w:r>
        <w:rPr>
          <w:rFonts w:hint="eastAsia" w:ascii="TimesNewRoman" w:hAnsi="TimesNewRoman" w:eastAsia="黑体" w:cs="TimesNewRoman"/>
          <w:bCs/>
          <w:sz w:val="32"/>
          <w:szCs w:val="32"/>
          <w:highlight w:val="none"/>
        </w:rPr>
        <w:t>七、关于2025年政府性基金预算支出表的说明</w:t>
      </w: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lang w:eastAsia="zh-CN"/>
        </w:rPr>
        <w:t>淮北市商务局</w:t>
      </w:r>
      <w:r>
        <w:rPr>
          <w:rFonts w:hint="eastAsia" w:ascii="TimesNewRoman" w:hAnsi="TimesNewRoman" w:eastAsia="仿宋_GB2312" w:cs="TimesNewRoman"/>
          <w:kern w:val="0"/>
          <w:sz w:val="32"/>
          <w:szCs w:val="32"/>
          <w:highlight w:val="none"/>
        </w:rPr>
        <w:t>2025年没有政府性基金预算拨款收入，也没有使用政府性基金预算拨款安排的支出。</w:t>
      </w:r>
    </w:p>
    <w:p>
      <w:pPr>
        <w:pStyle w:val="7"/>
        <w:adjustRightInd w:val="0"/>
        <w:snapToGrid w:val="0"/>
        <w:spacing w:line="560" w:lineRule="exact"/>
        <w:ind w:firstLine="627" w:firstLineChars="196"/>
        <w:rPr>
          <w:rFonts w:ascii="TimesNewRoman" w:hAnsi="TimesNewRoman" w:eastAsia="黑体" w:cs="TimesNewRoman"/>
          <w:bCs/>
          <w:sz w:val="32"/>
          <w:szCs w:val="32"/>
          <w:highlight w:val="none"/>
        </w:rPr>
      </w:pPr>
      <w:r>
        <w:rPr>
          <w:rFonts w:hint="eastAsia" w:ascii="TimesNewRoman" w:hAnsi="TimesNewRoman" w:eastAsia="黑体" w:cs="TimesNewRoman"/>
          <w:bCs/>
          <w:sz w:val="32"/>
          <w:szCs w:val="32"/>
          <w:highlight w:val="none"/>
        </w:rPr>
        <w:t>八、关于2025年国有资本经营预算支出表的说明</w:t>
      </w: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lang w:eastAsia="zh-CN"/>
        </w:rPr>
        <w:t>淮北市商务局</w:t>
      </w:r>
      <w:r>
        <w:rPr>
          <w:rFonts w:hint="eastAsia" w:ascii="TimesNewRoman" w:hAnsi="TimesNewRoman" w:eastAsia="仿宋_GB2312" w:cs="TimesNewRoman"/>
          <w:kern w:val="0"/>
          <w:sz w:val="32"/>
          <w:szCs w:val="32"/>
          <w:highlight w:val="none"/>
        </w:rPr>
        <w:t>2025年没有国有资本经营预算拨款收入，也没有使用国有资本经营预算拨款安排的支出。</w:t>
      </w:r>
    </w:p>
    <w:p>
      <w:pPr>
        <w:pStyle w:val="7"/>
        <w:adjustRightInd w:val="0"/>
        <w:snapToGrid w:val="0"/>
        <w:spacing w:line="560" w:lineRule="exact"/>
        <w:ind w:firstLine="627" w:firstLineChars="196"/>
        <w:rPr>
          <w:rFonts w:ascii="TimesNewRoman" w:hAnsi="TimesNewRoman" w:eastAsia="黑体" w:cs="TimesNewRoman"/>
          <w:bCs/>
          <w:sz w:val="32"/>
          <w:szCs w:val="32"/>
          <w:highlight w:val="none"/>
        </w:rPr>
      </w:pPr>
      <w:r>
        <w:rPr>
          <w:rFonts w:hint="eastAsia" w:ascii="TimesNewRoman" w:hAnsi="TimesNewRoman" w:eastAsia="黑体" w:cs="TimesNewRoman"/>
          <w:bCs/>
          <w:sz w:val="32"/>
          <w:szCs w:val="32"/>
          <w:highlight w:val="none"/>
        </w:rPr>
        <w:t>九、关于2025年项目支出表的说明</w:t>
      </w: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lang w:eastAsia="zh-CN"/>
        </w:rPr>
        <w:t>淮北市商务局</w:t>
      </w:r>
      <w:r>
        <w:rPr>
          <w:rFonts w:hint="eastAsia" w:ascii="TimesNewRoman" w:hAnsi="TimesNewRoman" w:eastAsia="仿宋_GB2312" w:cs="TimesNewRoman"/>
          <w:kern w:val="0"/>
          <w:sz w:val="32"/>
          <w:szCs w:val="32"/>
          <w:highlight w:val="none"/>
        </w:rPr>
        <w:t>2025年预算共安排项目支出</w:t>
      </w:r>
      <w:r>
        <w:rPr>
          <w:rFonts w:hint="eastAsia" w:ascii="TimesNewRoman" w:hAnsi="TimesNewRoman" w:eastAsia="仿宋_GB2312" w:cs="TimesNewRoman"/>
          <w:kern w:val="0"/>
          <w:sz w:val="32"/>
          <w:szCs w:val="32"/>
          <w:highlight w:val="none"/>
          <w:lang w:val="en-US" w:eastAsia="zh-CN"/>
        </w:rPr>
        <w:t>330</w:t>
      </w:r>
      <w:r>
        <w:rPr>
          <w:rFonts w:hint="eastAsia" w:ascii="TimesNewRoman" w:hAnsi="TimesNewRoman" w:eastAsia="仿宋_GB2312" w:cs="TimesNewRoman"/>
          <w:kern w:val="0"/>
          <w:sz w:val="32"/>
          <w:szCs w:val="32"/>
          <w:highlight w:val="none"/>
        </w:rPr>
        <w:t>万元，比2024年预算减少152.73万元，下降31.64%，原因主要是</w:t>
      </w:r>
      <w:r>
        <w:rPr>
          <w:rFonts w:hint="eastAsia" w:ascii="仿宋_GB2312" w:eastAsia="仿宋_GB2312"/>
          <w:sz w:val="32"/>
          <w:szCs w:val="32"/>
          <w:highlight w:val="none"/>
          <w:lang w:val="en-US" w:eastAsia="zh-CN"/>
        </w:rPr>
        <w:t>项目资金减少，减少文明菜市行动专项经费、放心家政行动专项经费、文明创建项目经费、</w:t>
      </w:r>
      <w:r>
        <w:rPr>
          <w:rFonts w:hint="eastAsia" w:ascii="仿宋_GB2312" w:eastAsia="仿宋_GB2312" w:cs="Times New Roman"/>
          <w:sz w:val="32"/>
          <w:szCs w:val="32"/>
          <w:highlight w:val="none"/>
          <w:lang w:val="en-US" w:eastAsia="zh-CN"/>
        </w:rPr>
        <w:t>淮北市重要产品追溯管理平台建设项目第四阶段资金项目经费</w:t>
      </w:r>
      <w:r>
        <w:rPr>
          <w:rFonts w:hint="eastAsia" w:ascii="TimesNewRoman" w:hAnsi="TimesNewRoman" w:eastAsia="仿宋_GB2312" w:cs="TimesNewRoman"/>
          <w:kern w:val="0"/>
          <w:sz w:val="32"/>
          <w:szCs w:val="32"/>
          <w:highlight w:val="none"/>
        </w:rPr>
        <w:t>。主要包括：本年财政拨款安排</w:t>
      </w:r>
      <w:r>
        <w:rPr>
          <w:rFonts w:hint="eastAsia" w:ascii="TimesNewRoman" w:hAnsi="TimesNewRoman" w:eastAsia="仿宋_GB2312" w:cs="TimesNewRoman"/>
          <w:kern w:val="0"/>
          <w:sz w:val="32"/>
          <w:szCs w:val="32"/>
          <w:highlight w:val="none"/>
          <w:lang w:val="en-US" w:eastAsia="zh-CN"/>
        </w:rPr>
        <w:t>330</w:t>
      </w:r>
      <w:r>
        <w:rPr>
          <w:rFonts w:hint="eastAsia" w:ascii="TimesNewRoman" w:hAnsi="TimesNewRoman" w:eastAsia="仿宋_GB2312" w:cs="TimesNewRoman"/>
          <w:kern w:val="0"/>
          <w:sz w:val="32"/>
          <w:szCs w:val="32"/>
          <w:highlight w:val="none"/>
        </w:rPr>
        <w:t>万元（其中，一般公共预算拨款安排</w:t>
      </w:r>
      <w:r>
        <w:rPr>
          <w:rFonts w:hint="eastAsia" w:ascii="TimesNewRoman" w:hAnsi="TimesNewRoman" w:eastAsia="仿宋_GB2312" w:cs="TimesNewRoman"/>
          <w:kern w:val="0"/>
          <w:sz w:val="32"/>
          <w:szCs w:val="32"/>
          <w:highlight w:val="none"/>
          <w:lang w:val="en-US" w:eastAsia="zh-CN"/>
        </w:rPr>
        <w:t>330</w:t>
      </w:r>
      <w:r>
        <w:rPr>
          <w:rFonts w:hint="eastAsia" w:ascii="TimesNewRoman" w:hAnsi="TimesNewRoman" w:eastAsia="仿宋_GB2312" w:cs="TimesNewRoman"/>
          <w:kern w:val="0"/>
          <w:sz w:val="32"/>
          <w:szCs w:val="32"/>
          <w:highlight w:val="none"/>
        </w:rPr>
        <w:t>万元，政府性基金预算拨款安排</w:t>
      </w:r>
      <w:r>
        <w:rPr>
          <w:rFonts w:hint="eastAsia" w:ascii="TimesNewRoman" w:hAnsi="TimesNewRoman" w:eastAsia="仿宋_GB2312" w:cs="TimesNewRoman"/>
          <w:kern w:val="0"/>
          <w:sz w:val="32"/>
          <w:szCs w:val="32"/>
          <w:highlight w:val="none"/>
          <w:lang w:val="en-US" w:eastAsia="zh-CN"/>
        </w:rPr>
        <w:t>0</w:t>
      </w:r>
      <w:r>
        <w:rPr>
          <w:rFonts w:hint="eastAsia" w:ascii="TimesNewRoman" w:hAnsi="TimesNewRoman" w:eastAsia="仿宋_GB2312" w:cs="TimesNewRoman"/>
          <w:kern w:val="0"/>
          <w:sz w:val="32"/>
          <w:szCs w:val="32"/>
          <w:highlight w:val="none"/>
        </w:rPr>
        <w:t>万元），财政专户管理资金安排</w:t>
      </w:r>
      <w:r>
        <w:rPr>
          <w:rFonts w:hint="eastAsia" w:ascii="TimesNewRoman" w:hAnsi="TimesNewRoman" w:eastAsia="仿宋_GB2312" w:cs="TimesNewRoman"/>
          <w:kern w:val="0"/>
          <w:sz w:val="32"/>
          <w:szCs w:val="32"/>
          <w:highlight w:val="none"/>
          <w:lang w:val="en-US" w:eastAsia="zh-CN"/>
        </w:rPr>
        <w:t>0</w:t>
      </w:r>
      <w:r>
        <w:rPr>
          <w:rFonts w:hint="eastAsia" w:ascii="TimesNewRoman" w:hAnsi="TimesNewRoman" w:eastAsia="仿宋_GB2312" w:cs="TimesNewRoman"/>
          <w:kern w:val="0"/>
          <w:sz w:val="32"/>
          <w:szCs w:val="32"/>
          <w:highlight w:val="none"/>
        </w:rPr>
        <w:t>万元。</w:t>
      </w:r>
    </w:p>
    <w:p>
      <w:pPr>
        <w:pStyle w:val="7"/>
        <w:adjustRightInd w:val="0"/>
        <w:snapToGrid w:val="0"/>
        <w:spacing w:line="560" w:lineRule="exact"/>
        <w:ind w:firstLine="627" w:firstLineChars="196"/>
        <w:rPr>
          <w:rFonts w:ascii="TimesNewRoman" w:hAnsi="TimesNewRoman" w:eastAsia="黑体" w:cs="TimesNewRoman"/>
          <w:bCs/>
          <w:sz w:val="32"/>
          <w:szCs w:val="32"/>
          <w:highlight w:val="none"/>
        </w:rPr>
      </w:pPr>
      <w:r>
        <w:rPr>
          <w:rFonts w:hint="eastAsia" w:ascii="TimesNewRoman" w:hAnsi="TimesNewRoman" w:eastAsia="黑体" w:cs="TimesNewRoman"/>
          <w:bCs/>
          <w:sz w:val="32"/>
          <w:szCs w:val="32"/>
          <w:highlight w:val="none"/>
        </w:rPr>
        <w:t>十、关于2025年政府采购支出表的说明</w:t>
      </w: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lang w:eastAsia="zh-CN"/>
        </w:rPr>
        <w:t>淮北市商务局</w:t>
      </w:r>
      <w:r>
        <w:rPr>
          <w:rFonts w:hint="eastAsia" w:ascii="TimesNewRoman" w:hAnsi="TimesNewRoman" w:eastAsia="仿宋_GB2312" w:cs="TimesNewRoman"/>
          <w:kern w:val="0"/>
          <w:sz w:val="32"/>
          <w:szCs w:val="32"/>
          <w:highlight w:val="none"/>
        </w:rPr>
        <w:t>2025年预算安排政府采购支出</w:t>
      </w:r>
      <w:r>
        <w:rPr>
          <w:rFonts w:hint="eastAsia" w:ascii="TimesNewRoman" w:hAnsi="TimesNewRoman" w:eastAsia="仿宋_GB2312" w:cs="TimesNewRoman"/>
          <w:kern w:val="0"/>
          <w:sz w:val="32"/>
          <w:szCs w:val="32"/>
          <w:highlight w:val="none"/>
          <w:lang w:val="en-US" w:eastAsia="zh-CN"/>
        </w:rPr>
        <w:t>0.52</w:t>
      </w:r>
      <w:r>
        <w:rPr>
          <w:rFonts w:hint="eastAsia" w:ascii="TimesNewRoman" w:hAnsi="TimesNewRoman" w:eastAsia="仿宋_GB2312" w:cs="TimesNewRoman"/>
          <w:kern w:val="0"/>
          <w:sz w:val="32"/>
          <w:szCs w:val="32"/>
          <w:highlight w:val="none"/>
        </w:rPr>
        <w:t>万元，比2024年预算增加</w:t>
      </w:r>
      <w:r>
        <w:rPr>
          <w:rFonts w:hint="eastAsia" w:ascii="TimesNewRoman" w:hAnsi="TimesNewRoman" w:eastAsia="仿宋_GB2312" w:cs="TimesNewRoman"/>
          <w:kern w:val="0"/>
          <w:sz w:val="32"/>
          <w:szCs w:val="32"/>
          <w:highlight w:val="none"/>
          <w:lang w:val="en-US" w:eastAsia="zh-CN"/>
        </w:rPr>
        <w:t>0.52</w:t>
      </w:r>
      <w:r>
        <w:rPr>
          <w:rFonts w:hint="eastAsia" w:ascii="TimesNewRoman" w:hAnsi="TimesNewRoman" w:eastAsia="仿宋_GB2312" w:cs="TimesNewRoman"/>
          <w:kern w:val="0"/>
          <w:sz w:val="32"/>
          <w:szCs w:val="32"/>
          <w:highlight w:val="none"/>
        </w:rPr>
        <w:t>万元，</w:t>
      </w:r>
      <w:r>
        <w:rPr>
          <w:rFonts w:hint="eastAsia" w:ascii="TimesNewRoman" w:hAnsi="TimesNewRoman" w:eastAsia="仿宋_GB2312" w:cs="TimesNewRoman"/>
          <w:kern w:val="0"/>
          <w:sz w:val="32"/>
          <w:szCs w:val="32"/>
          <w:highlight w:val="none"/>
        </w:rPr>
        <w:t>原因主要是</w:t>
      </w:r>
      <w:r>
        <w:rPr>
          <w:rFonts w:hint="eastAsia" w:ascii="TimesNewRoman" w:hAnsi="TimesNewRoman" w:eastAsia="仿宋_GB2312" w:cs="TimesNewRoman"/>
          <w:kern w:val="0"/>
          <w:sz w:val="32"/>
          <w:szCs w:val="32"/>
          <w:highlight w:val="none"/>
          <w:lang w:eastAsia="zh-CN"/>
        </w:rPr>
        <w:t>商务局下属事业单位淮北市商贸发展服务中心新增工作人员，购置一台多功能一体机</w:t>
      </w:r>
      <w:r>
        <w:rPr>
          <w:rFonts w:hint="eastAsia" w:ascii="TimesNewRoman" w:hAnsi="TimesNewRoman" w:eastAsia="仿宋_GB2312" w:cs="TimesNewRoman"/>
          <w:kern w:val="0"/>
          <w:sz w:val="32"/>
          <w:szCs w:val="32"/>
          <w:highlight w:val="none"/>
        </w:rPr>
        <w:t>。其中，一般公共预算</w:t>
      </w:r>
      <w:r>
        <w:rPr>
          <w:rFonts w:hint="eastAsia" w:ascii="TimesNewRoman" w:hAnsi="TimesNewRoman" w:eastAsia="仿宋_GB2312" w:cs="TimesNewRoman"/>
          <w:kern w:val="0"/>
          <w:sz w:val="32"/>
          <w:szCs w:val="32"/>
          <w:highlight w:val="none"/>
        </w:rPr>
        <w:t>安排</w:t>
      </w:r>
      <w:r>
        <w:rPr>
          <w:rFonts w:hint="eastAsia" w:ascii="TimesNewRoman" w:hAnsi="TimesNewRoman" w:eastAsia="仿宋_GB2312" w:cs="TimesNewRoman"/>
          <w:kern w:val="0"/>
          <w:sz w:val="32"/>
          <w:szCs w:val="32"/>
          <w:highlight w:val="none"/>
          <w:lang w:val="en-US" w:eastAsia="zh-CN"/>
        </w:rPr>
        <w:t>0.52</w:t>
      </w:r>
      <w:r>
        <w:rPr>
          <w:rFonts w:hint="eastAsia" w:ascii="TimesNewRoman" w:hAnsi="TimesNewRoman" w:eastAsia="仿宋_GB2312" w:cs="TimesNewRoman"/>
          <w:kern w:val="0"/>
          <w:sz w:val="32"/>
          <w:szCs w:val="32"/>
          <w:highlight w:val="none"/>
        </w:rPr>
        <w:t>万元，占</w:t>
      </w:r>
      <w:r>
        <w:rPr>
          <w:rFonts w:hint="eastAsia" w:ascii="TimesNewRoman" w:hAnsi="TimesNewRoman" w:eastAsia="仿宋_GB2312" w:cs="TimesNewRoman"/>
          <w:kern w:val="0"/>
          <w:sz w:val="32"/>
          <w:szCs w:val="32"/>
          <w:highlight w:val="none"/>
          <w:lang w:val="en-US" w:eastAsia="zh-CN"/>
        </w:rPr>
        <w:t>100</w:t>
      </w:r>
      <w:r>
        <w:rPr>
          <w:rFonts w:hint="eastAsia" w:ascii="TimesNewRoman" w:hAnsi="TimesNewRoman" w:eastAsia="仿宋_GB2312" w:cs="TimesNewRoman"/>
          <w:kern w:val="0"/>
          <w:sz w:val="32"/>
          <w:szCs w:val="32"/>
          <w:highlight w:val="none"/>
        </w:rPr>
        <w:t>%；政府性基金预算安排</w:t>
      </w:r>
      <w:r>
        <w:rPr>
          <w:rFonts w:hint="eastAsia" w:ascii="TimesNewRoman" w:hAnsi="TimesNewRoman" w:eastAsia="仿宋_GB2312" w:cs="TimesNewRoman"/>
          <w:kern w:val="0"/>
          <w:sz w:val="32"/>
          <w:szCs w:val="32"/>
          <w:highlight w:val="none"/>
          <w:lang w:val="en-US" w:eastAsia="zh-CN"/>
        </w:rPr>
        <w:t>0</w:t>
      </w:r>
      <w:r>
        <w:rPr>
          <w:rFonts w:hint="eastAsia" w:ascii="TimesNewRoman" w:hAnsi="TimesNewRoman" w:eastAsia="仿宋_GB2312" w:cs="TimesNewRoman"/>
          <w:kern w:val="0"/>
          <w:sz w:val="32"/>
          <w:szCs w:val="32"/>
          <w:highlight w:val="none"/>
        </w:rPr>
        <w:t>万元，占</w:t>
      </w:r>
      <w:r>
        <w:rPr>
          <w:rFonts w:hint="eastAsia" w:ascii="TimesNewRoman" w:hAnsi="TimesNewRoman" w:eastAsia="仿宋_GB2312" w:cs="TimesNewRoman"/>
          <w:kern w:val="0"/>
          <w:sz w:val="32"/>
          <w:szCs w:val="32"/>
          <w:highlight w:val="none"/>
          <w:lang w:val="en-US" w:eastAsia="zh-CN"/>
        </w:rPr>
        <w:t>0</w:t>
      </w:r>
      <w:r>
        <w:rPr>
          <w:rFonts w:hint="eastAsia" w:ascii="TimesNewRoman" w:hAnsi="TimesNewRoman" w:eastAsia="仿宋_GB2312" w:cs="TimesNewRoman"/>
          <w:kern w:val="0"/>
          <w:sz w:val="32"/>
          <w:szCs w:val="32"/>
          <w:highlight w:val="none"/>
        </w:rPr>
        <w:t>%；财政专户管理资金安排</w:t>
      </w:r>
      <w:r>
        <w:rPr>
          <w:rFonts w:hint="eastAsia" w:ascii="TimesNewRoman" w:hAnsi="TimesNewRoman" w:eastAsia="仿宋_GB2312" w:cs="TimesNewRoman"/>
          <w:kern w:val="0"/>
          <w:sz w:val="32"/>
          <w:szCs w:val="32"/>
          <w:highlight w:val="none"/>
          <w:lang w:val="en-US" w:eastAsia="zh-CN"/>
        </w:rPr>
        <w:t>0</w:t>
      </w:r>
      <w:r>
        <w:rPr>
          <w:rFonts w:hint="eastAsia" w:ascii="TimesNewRoman" w:hAnsi="TimesNewRoman" w:eastAsia="仿宋_GB2312" w:cs="TimesNewRoman"/>
          <w:kern w:val="0"/>
          <w:sz w:val="32"/>
          <w:szCs w:val="32"/>
          <w:highlight w:val="none"/>
        </w:rPr>
        <w:t>万元，占</w:t>
      </w:r>
      <w:r>
        <w:rPr>
          <w:rFonts w:hint="eastAsia" w:ascii="TimesNewRoman" w:hAnsi="TimesNewRoman" w:eastAsia="仿宋_GB2312" w:cs="TimesNewRoman"/>
          <w:kern w:val="0"/>
          <w:sz w:val="32"/>
          <w:szCs w:val="32"/>
          <w:highlight w:val="none"/>
          <w:lang w:val="en-US" w:eastAsia="zh-CN"/>
        </w:rPr>
        <w:t>0</w:t>
      </w:r>
      <w:r>
        <w:rPr>
          <w:rFonts w:hint="eastAsia" w:ascii="TimesNewRoman" w:hAnsi="TimesNewRoman" w:eastAsia="仿宋_GB2312" w:cs="TimesNewRoman"/>
          <w:kern w:val="0"/>
          <w:sz w:val="32"/>
          <w:szCs w:val="32"/>
          <w:highlight w:val="none"/>
        </w:rPr>
        <w:t>%。</w:t>
      </w:r>
    </w:p>
    <w:p>
      <w:pPr>
        <w:pStyle w:val="7"/>
        <w:adjustRightInd w:val="0"/>
        <w:snapToGrid w:val="0"/>
        <w:spacing w:line="560" w:lineRule="exact"/>
        <w:ind w:firstLine="627" w:firstLineChars="196"/>
        <w:rPr>
          <w:rFonts w:ascii="TimesNewRoman" w:hAnsi="TimesNewRoman" w:eastAsia="黑体" w:cs="TimesNewRoman"/>
          <w:bCs/>
          <w:sz w:val="32"/>
          <w:szCs w:val="32"/>
          <w:highlight w:val="none"/>
        </w:rPr>
      </w:pPr>
      <w:r>
        <w:rPr>
          <w:rFonts w:hint="eastAsia" w:ascii="TimesNewRoman" w:hAnsi="TimesNewRoman" w:eastAsia="黑体" w:cs="TimesNewRoman"/>
          <w:bCs/>
          <w:sz w:val="32"/>
          <w:szCs w:val="32"/>
          <w:highlight w:val="none"/>
        </w:rPr>
        <w:t>十一、关于2025年政府购买服务支出表的说明</w:t>
      </w: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lang w:eastAsia="zh-CN"/>
        </w:rPr>
        <w:t>淮北市商务局</w:t>
      </w:r>
      <w:r>
        <w:rPr>
          <w:rFonts w:hint="eastAsia" w:ascii="TimesNewRoman" w:hAnsi="TimesNewRoman" w:eastAsia="仿宋_GB2312" w:cs="TimesNewRoman"/>
          <w:kern w:val="0"/>
          <w:sz w:val="32"/>
          <w:szCs w:val="32"/>
          <w:highlight w:val="none"/>
        </w:rPr>
        <w:t>2025年没有安排政府购买服务支出。</w:t>
      </w:r>
    </w:p>
    <w:p>
      <w:pPr>
        <w:pStyle w:val="7"/>
        <w:adjustRightInd w:val="0"/>
        <w:snapToGrid w:val="0"/>
        <w:spacing w:line="560" w:lineRule="exact"/>
        <w:ind w:firstLine="640" w:firstLineChars="200"/>
        <w:rPr>
          <w:rFonts w:ascii="TimesNewRoman" w:hAnsi="TimesNewRoman" w:eastAsia="黑体" w:cs="TimesNewRoman"/>
          <w:sz w:val="32"/>
          <w:szCs w:val="32"/>
          <w:highlight w:val="none"/>
        </w:rPr>
      </w:pPr>
      <w:r>
        <w:rPr>
          <w:rFonts w:ascii="TimesNewRoman" w:hAnsi="TimesNewRoman" w:eastAsia="黑体" w:cs="TimesNewRoman"/>
          <w:sz w:val="32"/>
          <w:szCs w:val="32"/>
          <w:highlight w:val="none"/>
        </w:rPr>
        <w:t>十</w:t>
      </w:r>
      <w:r>
        <w:rPr>
          <w:rFonts w:hint="eastAsia" w:ascii="TimesNewRoman" w:hAnsi="TimesNewRoman" w:eastAsia="黑体" w:cs="TimesNewRoman"/>
          <w:sz w:val="32"/>
          <w:szCs w:val="32"/>
          <w:highlight w:val="none"/>
        </w:rPr>
        <w:t>二</w:t>
      </w:r>
      <w:r>
        <w:rPr>
          <w:rFonts w:ascii="TimesNewRoman" w:hAnsi="TimesNewRoman" w:eastAsia="黑体" w:cs="TimesNewRoman"/>
          <w:sz w:val="32"/>
          <w:szCs w:val="32"/>
          <w:highlight w:val="none"/>
        </w:rPr>
        <w:t>、关于</w:t>
      </w:r>
      <w:r>
        <w:rPr>
          <w:rFonts w:hint="eastAsia" w:ascii="TimesNewRoman" w:hAnsi="TimesNewRoman" w:eastAsia="黑体" w:cs="TimesNewRoman"/>
          <w:sz w:val="32"/>
          <w:szCs w:val="32"/>
          <w:highlight w:val="none"/>
        </w:rPr>
        <w:t>2025</w:t>
      </w:r>
      <w:r>
        <w:rPr>
          <w:rFonts w:ascii="TimesNewRoman" w:hAnsi="TimesNewRoman" w:eastAsia="黑体" w:cs="TimesNewRoman"/>
          <w:sz w:val="32"/>
          <w:szCs w:val="32"/>
          <w:highlight w:val="none"/>
        </w:rPr>
        <w:t>年通用资产配置支出表的说明</w:t>
      </w:r>
    </w:p>
    <w:p>
      <w:pPr>
        <w:pStyle w:val="2"/>
        <w:rPr>
          <w:rFonts w:hint="eastAsia" w:ascii="TimesNewRoman" w:hAnsi="TimesNewRoman" w:eastAsia="仿宋_GB2312" w:cs="TimesNewRoman"/>
          <w:kern w:val="0"/>
          <w:sz w:val="32"/>
          <w:szCs w:val="32"/>
          <w:highlight w:val="none"/>
        </w:rPr>
      </w:pPr>
      <w:r>
        <w:rPr>
          <w:rFonts w:hint="eastAsia" w:ascii="TimesNewRoman" w:hAnsi="TimesNewRoman" w:eastAsia="仿宋_GB2312" w:cs="TimesNewRoman"/>
          <w:sz w:val="32"/>
          <w:szCs w:val="32"/>
          <w:highlight w:val="none"/>
        </w:rPr>
        <w:t>淮北市</w:t>
      </w:r>
      <w:r>
        <w:rPr>
          <w:rFonts w:hint="eastAsia" w:ascii="TimesNewRoman" w:hAnsi="TimesNewRoman" w:eastAsia="仿宋_GB2312" w:cs="TimesNewRoman"/>
          <w:sz w:val="32"/>
          <w:szCs w:val="32"/>
          <w:highlight w:val="none"/>
          <w:lang w:val="en-US" w:eastAsia="zh-CN"/>
        </w:rPr>
        <w:t>商务局</w:t>
      </w:r>
      <w:r>
        <w:rPr>
          <w:rFonts w:hint="eastAsia" w:ascii="TimesNewRoman" w:hAnsi="TimesNewRoman" w:eastAsia="仿宋_GB2312" w:cs="TimesNewRoman"/>
          <w:sz w:val="32"/>
          <w:szCs w:val="32"/>
          <w:highlight w:val="none"/>
        </w:rPr>
        <w:t>2025</w:t>
      </w:r>
      <w:r>
        <w:rPr>
          <w:rFonts w:ascii="TimesNewRoman" w:hAnsi="TimesNewRoman" w:eastAsia="仿宋_GB2312" w:cs="TimesNewRoman"/>
          <w:sz w:val="32"/>
          <w:szCs w:val="32"/>
          <w:highlight w:val="none"/>
        </w:rPr>
        <w:t>年预算安排通用资产配置支出</w:t>
      </w:r>
      <w:r>
        <w:rPr>
          <w:rFonts w:hint="eastAsia" w:ascii="TimesNewRoman" w:hAnsi="TimesNewRoman" w:eastAsia="仿宋_GB2312" w:cs="TimesNewRoman"/>
          <w:sz w:val="32"/>
          <w:szCs w:val="32"/>
          <w:highlight w:val="none"/>
          <w:lang w:val="en-US" w:eastAsia="zh-CN"/>
        </w:rPr>
        <w:t>0.52</w:t>
      </w:r>
      <w:r>
        <w:rPr>
          <w:rFonts w:ascii="TimesNewRoman" w:hAnsi="TimesNewRoman" w:eastAsia="仿宋_GB2312" w:cs="TimesNewRoman"/>
          <w:sz w:val="32"/>
          <w:szCs w:val="32"/>
          <w:highlight w:val="none"/>
        </w:rPr>
        <w:t>万元，比</w:t>
      </w:r>
      <w:r>
        <w:rPr>
          <w:rFonts w:hint="eastAsia" w:ascii="TimesNewRoman" w:hAnsi="TimesNewRoman" w:eastAsia="仿宋_GB2312" w:cs="TimesNewRoman"/>
          <w:sz w:val="32"/>
          <w:szCs w:val="32"/>
          <w:highlight w:val="none"/>
        </w:rPr>
        <w:t>2024</w:t>
      </w:r>
      <w:r>
        <w:rPr>
          <w:rFonts w:ascii="TimesNewRoman" w:hAnsi="TimesNewRoman" w:eastAsia="仿宋_GB2312" w:cs="TimesNewRoman"/>
          <w:sz w:val="32"/>
          <w:szCs w:val="32"/>
          <w:highlight w:val="none"/>
        </w:rPr>
        <w:t>年预算</w:t>
      </w:r>
      <w:r>
        <w:rPr>
          <w:rFonts w:hint="eastAsia" w:ascii="TimesNewRoman" w:hAnsi="TimesNewRoman" w:eastAsia="仿宋_GB2312" w:cs="TimesNewRoman"/>
          <w:kern w:val="0"/>
          <w:sz w:val="32"/>
          <w:szCs w:val="32"/>
          <w:highlight w:val="none"/>
        </w:rPr>
        <w:t>增加</w:t>
      </w:r>
      <w:r>
        <w:rPr>
          <w:rFonts w:hint="eastAsia" w:ascii="TimesNewRoman" w:hAnsi="TimesNewRoman" w:eastAsia="仿宋_GB2312" w:cs="TimesNewRoman"/>
          <w:kern w:val="0"/>
          <w:sz w:val="32"/>
          <w:szCs w:val="32"/>
          <w:highlight w:val="none"/>
          <w:lang w:val="en-US" w:eastAsia="zh-CN"/>
        </w:rPr>
        <w:t>0.52</w:t>
      </w:r>
      <w:r>
        <w:rPr>
          <w:rFonts w:hint="eastAsia" w:ascii="TimesNewRoman" w:hAnsi="TimesNewRoman" w:eastAsia="仿宋_GB2312" w:cs="TimesNewRoman"/>
          <w:kern w:val="0"/>
          <w:sz w:val="32"/>
          <w:szCs w:val="32"/>
          <w:highlight w:val="none"/>
        </w:rPr>
        <w:t>万元，原因主要是</w:t>
      </w:r>
      <w:r>
        <w:rPr>
          <w:rFonts w:hint="eastAsia" w:ascii="TimesNewRoman" w:hAnsi="TimesNewRoman" w:eastAsia="仿宋_GB2312" w:cs="TimesNewRoman"/>
          <w:kern w:val="0"/>
          <w:sz w:val="32"/>
          <w:szCs w:val="32"/>
          <w:highlight w:val="none"/>
          <w:lang w:eastAsia="zh-CN"/>
        </w:rPr>
        <w:t>商务局下属事业单位淮北市商贸发展服务中心新增工作人员，购置一台多功能一体机</w:t>
      </w:r>
      <w:r>
        <w:rPr>
          <w:rFonts w:hint="eastAsia" w:ascii="TimesNewRoman" w:hAnsi="TimesNewRoman" w:eastAsia="仿宋_GB2312" w:cs="TimesNewRoman"/>
          <w:kern w:val="0"/>
          <w:sz w:val="32"/>
          <w:szCs w:val="32"/>
          <w:highlight w:val="none"/>
        </w:rPr>
        <w:t>。</w:t>
      </w:r>
    </w:p>
    <w:p>
      <w:pPr>
        <w:pStyle w:val="2"/>
        <w:rPr>
          <w:rFonts w:ascii="TimesNewRoman" w:hAnsi="TimesNewRoman" w:eastAsia="黑体" w:cs="TimesNewRoman"/>
          <w:bCs/>
          <w:sz w:val="32"/>
          <w:szCs w:val="32"/>
          <w:highlight w:val="none"/>
        </w:rPr>
      </w:pPr>
      <w:r>
        <w:rPr>
          <w:rFonts w:hint="eastAsia" w:ascii="TimesNewRoman" w:hAnsi="TimesNewRoman" w:eastAsia="黑体" w:cs="TimesNewRoman"/>
          <w:bCs/>
          <w:sz w:val="32"/>
          <w:szCs w:val="32"/>
          <w:highlight w:val="none"/>
        </w:rPr>
        <w:t>十</w:t>
      </w:r>
      <w:r>
        <w:rPr>
          <w:rFonts w:hint="eastAsia" w:ascii="TimesNewRoman" w:hAnsi="TimesNewRoman" w:eastAsia="黑体" w:cs="TimesNewRoman"/>
          <w:bCs/>
          <w:sz w:val="32"/>
          <w:szCs w:val="32"/>
          <w:highlight w:val="none"/>
          <w:lang w:val="en-US" w:eastAsia="zh-CN"/>
        </w:rPr>
        <w:t>三</w:t>
      </w:r>
      <w:r>
        <w:rPr>
          <w:rFonts w:hint="eastAsia" w:ascii="TimesNewRoman" w:hAnsi="TimesNewRoman" w:eastAsia="黑体" w:cs="TimesNewRoman"/>
          <w:bCs/>
          <w:sz w:val="32"/>
          <w:szCs w:val="32"/>
          <w:highlight w:val="none"/>
        </w:rPr>
        <w:t>、</w:t>
      </w:r>
      <w:r>
        <w:rPr>
          <w:rFonts w:hint="eastAsia" w:ascii="TimesNewRoman" w:hAnsi="TimesNewRoman" w:eastAsia="黑体" w:cs="TimesNewRoman"/>
          <w:bCs/>
          <w:sz w:val="32"/>
          <w:szCs w:val="32"/>
          <w:highlight w:val="none"/>
        </w:rPr>
        <w:t>其他重要事项情况说明</w:t>
      </w:r>
    </w:p>
    <w:p>
      <w:pPr>
        <w:adjustRightInd w:val="0"/>
        <w:snapToGrid w:val="0"/>
        <w:spacing w:line="580" w:lineRule="exact"/>
        <w:ind w:firstLine="643" w:firstLineChars="200"/>
        <w:rPr>
          <w:rFonts w:ascii="TimesNewRoman" w:hAnsi="TimesNewRoman" w:eastAsia="仿宋_GB2312" w:cs="TimesNewRoman"/>
          <w:b/>
          <w:sz w:val="32"/>
          <w:szCs w:val="32"/>
          <w:highlight w:val="none"/>
        </w:rPr>
      </w:pPr>
      <w:r>
        <w:rPr>
          <w:rFonts w:hint="eastAsia" w:ascii="TimesNewRoman" w:hAnsi="TimesNewRoman" w:eastAsia="仿宋_GB2312" w:cs="TimesNewRoman"/>
          <w:b/>
          <w:sz w:val="32"/>
          <w:szCs w:val="32"/>
          <w:highlight w:val="none"/>
        </w:rPr>
        <w:t>（一）项目及绩效目标情况。</w:t>
      </w: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rPr>
        <w:t>1、“</w:t>
      </w:r>
      <w:r>
        <w:rPr>
          <w:rFonts w:hint="eastAsia" w:ascii="仿宋_GB2312" w:hAnsi="Times New Roman" w:eastAsia="仿宋_GB2312" w:cs="Times New Roman"/>
          <w:sz w:val="32"/>
          <w:szCs w:val="32"/>
          <w:highlight w:val="none"/>
        </w:rPr>
        <w:t>商务经济运行工作调度经费</w:t>
      </w:r>
      <w:r>
        <w:rPr>
          <w:rFonts w:hint="eastAsia" w:ascii="TimesNewRoman" w:hAnsi="TimesNewRoman" w:eastAsia="仿宋_GB2312" w:cs="TimesNewRoman"/>
          <w:kern w:val="0"/>
          <w:sz w:val="32"/>
          <w:szCs w:val="32"/>
          <w:highlight w:val="none"/>
        </w:rPr>
        <w:t>”项目。</w:t>
      </w: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rPr>
        <w:t>（1）项目概述。</w:t>
      </w:r>
      <w:r>
        <w:rPr>
          <w:rFonts w:hint="eastAsia" w:ascii="仿宋_GB2312" w:hAnsi="仿宋_GB2312" w:eastAsia="仿宋_GB2312" w:cs="仿宋_GB2312"/>
          <w:sz w:val="32"/>
          <w:szCs w:val="32"/>
          <w:highlight w:val="none"/>
          <w:lang w:val="en-US" w:eastAsia="zh-CN"/>
        </w:rPr>
        <w:t>建立健全生活必需品市场供应应急管理机制，及时准确对市场运行情况、商品价格信息、商品供求状况进行监测分析，促进内贸流通新升级，培育壮大市场主体。</w:t>
      </w: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rPr>
        <w:t>（2）立项依据。</w:t>
      </w:r>
      <w:r>
        <w:rPr>
          <w:rFonts w:hint="eastAsia" w:ascii="仿宋_GB2312" w:hAnsi="仿宋_GB2312" w:eastAsia="仿宋_GB2312" w:cs="仿宋_GB2312"/>
          <w:color w:val="auto"/>
          <w:sz w:val="32"/>
          <w:szCs w:val="32"/>
          <w:highlight w:val="none"/>
          <w:lang w:val="en-US" w:eastAsia="zh-CN"/>
        </w:rPr>
        <w:t>按照安徽省商务厅《关于进一步加强内贸流通监测推进工作的通知》</w:t>
      </w: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rPr>
        <w:t>（3）实施主体。淮北市商务局</w:t>
      </w:r>
    </w:p>
    <w:p>
      <w:pPr>
        <w:ind w:firstLine="640" w:firstLineChars="200"/>
        <w:rPr>
          <w:rFonts w:hint="eastAsia"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rPr>
        <w:t>（4）起止时间。202</w:t>
      </w:r>
      <w:r>
        <w:rPr>
          <w:rFonts w:hint="eastAsia" w:ascii="TimesNewRoman" w:hAnsi="TimesNewRoman" w:eastAsia="仿宋_GB2312" w:cs="TimesNewRoman"/>
          <w:kern w:val="0"/>
          <w:sz w:val="32"/>
          <w:szCs w:val="32"/>
          <w:highlight w:val="none"/>
          <w:lang w:val="en-US" w:eastAsia="zh-CN"/>
        </w:rPr>
        <w:t>5</w:t>
      </w:r>
      <w:r>
        <w:rPr>
          <w:rFonts w:hint="eastAsia" w:ascii="TimesNewRoman" w:hAnsi="TimesNewRoman" w:eastAsia="仿宋_GB2312" w:cs="TimesNewRoman"/>
          <w:kern w:val="0"/>
          <w:sz w:val="32"/>
          <w:szCs w:val="32"/>
          <w:highlight w:val="none"/>
        </w:rPr>
        <w:t>年1月-12月</w:t>
      </w: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rPr>
        <w:t>（5）项目内容。建立健全生活必需品市场供应应急管理机制，及时准确对市场运行情况、商品价格信息、商品供求状况进行监测分析。为做好以上商务经济工作，202</w:t>
      </w:r>
      <w:r>
        <w:rPr>
          <w:rFonts w:hint="eastAsia" w:ascii="TimesNewRoman" w:hAnsi="TimesNewRoman" w:eastAsia="仿宋_GB2312" w:cs="TimesNewRoman"/>
          <w:kern w:val="0"/>
          <w:sz w:val="32"/>
          <w:szCs w:val="32"/>
          <w:highlight w:val="none"/>
          <w:lang w:val="en-US" w:eastAsia="zh-CN"/>
        </w:rPr>
        <w:t>5</w:t>
      </w:r>
      <w:r>
        <w:rPr>
          <w:rFonts w:hint="eastAsia" w:ascii="TimesNewRoman" w:hAnsi="TimesNewRoman" w:eastAsia="仿宋_GB2312" w:cs="TimesNewRoman"/>
          <w:kern w:val="0"/>
          <w:sz w:val="32"/>
          <w:szCs w:val="32"/>
          <w:highlight w:val="none"/>
        </w:rPr>
        <w:t>年度我局共需经费</w:t>
      </w:r>
      <w:r>
        <w:rPr>
          <w:rFonts w:hint="eastAsia" w:ascii="TimesNewRoman" w:hAnsi="TimesNewRoman" w:eastAsia="仿宋_GB2312" w:cs="TimesNewRoman"/>
          <w:kern w:val="0"/>
          <w:sz w:val="32"/>
          <w:szCs w:val="32"/>
          <w:highlight w:val="none"/>
          <w:lang w:val="en-US" w:eastAsia="zh-CN"/>
        </w:rPr>
        <w:t>60</w:t>
      </w:r>
      <w:r>
        <w:rPr>
          <w:rFonts w:hint="eastAsia" w:ascii="TimesNewRoman" w:hAnsi="TimesNewRoman" w:eastAsia="仿宋_GB2312" w:cs="TimesNewRoman"/>
          <w:kern w:val="0"/>
          <w:sz w:val="32"/>
          <w:szCs w:val="32"/>
          <w:highlight w:val="none"/>
        </w:rPr>
        <w:t>万元。</w:t>
      </w: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rPr>
        <w:t>（6）年度预算安排。202</w:t>
      </w:r>
      <w:r>
        <w:rPr>
          <w:rFonts w:hint="eastAsia" w:ascii="TimesNewRoman" w:hAnsi="TimesNewRoman" w:eastAsia="仿宋_GB2312" w:cs="TimesNewRoman"/>
          <w:kern w:val="0"/>
          <w:sz w:val="32"/>
          <w:szCs w:val="32"/>
          <w:highlight w:val="none"/>
          <w:lang w:val="en-US" w:eastAsia="zh-CN"/>
        </w:rPr>
        <w:t>5</w:t>
      </w:r>
      <w:r>
        <w:rPr>
          <w:rFonts w:hint="eastAsia" w:ascii="TimesNewRoman" w:hAnsi="TimesNewRoman" w:eastAsia="仿宋_GB2312" w:cs="TimesNewRoman"/>
          <w:kern w:val="0"/>
          <w:sz w:val="32"/>
          <w:szCs w:val="32"/>
          <w:highlight w:val="none"/>
        </w:rPr>
        <w:t>年安排预算资金</w:t>
      </w:r>
      <w:r>
        <w:rPr>
          <w:rFonts w:hint="eastAsia" w:ascii="TimesNewRoman" w:hAnsi="TimesNewRoman" w:eastAsia="仿宋_GB2312" w:cs="TimesNewRoman"/>
          <w:kern w:val="0"/>
          <w:sz w:val="32"/>
          <w:szCs w:val="32"/>
          <w:highlight w:val="none"/>
          <w:lang w:val="en-US" w:eastAsia="zh-CN"/>
        </w:rPr>
        <w:t>60</w:t>
      </w:r>
      <w:r>
        <w:rPr>
          <w:rFonts w:hint="eastAsia" w:ascii="TimesNewRoman" w:hAnsi="TimesNewRoman" w:eastAsia="仿宋_GB2312" w:cs="TimesNewRoman"/>
          <w:kern w:val="0"/>
          <w:sz w:val="32"/>
          <w:szCs w:val="32"/>
          <w:highlight w:val="none"/>
        </w:rPr>
        <w:t>万元</w:t>
      </w: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rPr>
        <w:t>（7）绩效目标。</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pPr>
              <w:widowControl/>
              <w:jc w:val="center"/>
              <w:textAlignment w:val="center"/>
              <w:rPr>
                <w:rFonts w:ascii="宋体" w:cs="宋体"/>
                <w:b/>
                <w:bCs/>
                <w:szCs w:val="32"/>
                <w:highlight w:val="none"/>
              </w:rPr>
            </w:pPr>
            <w:r>
              <w:rPr>
                <w:rFonts w:hint="eastAsia" w:ascii="宋体" w:hAnsi="宋体" w:eastAsia="宋体" w:cs="宋体"/>
                <w:b/>
                <w:color w:val="000000"/>
                <w:kern w:val="0"/>
                <w:sz w:val="28"/>
                <w:szCs w:val="28"/>
                <w:highlight w:val="none"/>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 xml:space="preserve"> （2025年度）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项目名称</w:t>
            </w:r>
          </w:p>
        </w:tc>
        <w:tc>
          <w:tcPr>
            <w:tcW w:w="7577" w:type="dxa"/>
            <w:gridSpan w:val="4"/>
            <w:tcBorders>
              <w:tl2br w:val="nil"/>
              <w:tr2bl w:val="nil"/>
            </w:tcBorders>
            <w:vAlign w:val="center"/>
          </w:tcPr>
          <w:p>
            <w:pPr>
              <w:jc w:val="center"/>
              <w:rPr>
                <w:rFonts w:ascii="宋体" w:cs="宋体"/>
                <w:sz w:val="20"/>
                <w:highlight w:val="none"/>
              </w:rPr>
            </w:pPr>
            <w:r>
              <w:rPr>
                <w:rFonts w:hint="eastAsia" w:ascii="宋体" w:hAnsi="宋体" w:eastAsia="宋体" w:cs="宋体"/>
                <w:i w:val="0"/>
                <w:iCs w:val="0"/>
                <w:color w:val="000000"/>
                <w:kern w:val="0"/>
                <w:sz w:val="20"/>
                <w:szCs w:val="20"/>
                <w:highlight w:val="none"/>
                <w:u w:val="none"/>
                <w:lang w:val="en-US" w:eastAsia="zh-CN" w:bidi="ar"/>
              </w:rPr>
              <w:t>商务经济运行工作调度经费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主管部门   及代码</w:t>
            </w:r>
          </w:p>
        </w:tc>
        <w:tc>
          <w:tcPr>
            <w:tcW w:w="3349" w:type="dxa"/>
            <w:gridSpan w:val="2"/>
            <w:tcBorders>
              <w:tl2br w:val="nil"/>
              <w:tr2bl w:val="nil"/>
            </w:tcBorders>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iCs w:val="0"/>
                <w:color w:val="000000"/>
                <w:kern w:val="0"/>
                <w:sz w:val="20"/>
                <w:szCs w:val="20"/>
                <w:highlight w:val="none"/>
                <w:u w:val="none"/>
                <w:lang w:val="en-US" w:eastAsia="zh-CN" w:bidi="ar"/>
              </w:rPr>
              <w:t>[288]淮北市商务局</w:t>
            </w:r>
          </w:p>
        </w:tc>
        <w:tc>
          <w:tcPr>
            <w:tcW w:w="1848" w:type="dxa"/>
            <w:tcBorders>
              <w:tl2br w:val="nil"/>
              <w:tr2bl w:val="nil"/>
            </w:tcBorders>
            <w:vAlign w:val="center"/>
          </w:tcPr>
          <w:p>
            <w:pPr>
              <w:widowControl/>
              <w:jc w:val="center"/>
              <w:textAlignment w:val="center"/>
              <w:rPr>
                <w:highlight w:val="none"/>
              </w:rPr>
            </w:pPr>
            <w:r>
              <w:rPr>
                <w:rFonts w:hint="eastAsia" w:ascii="宋体" w:hAnsi="宋体" w:eastAsia="宋体" w:cs="宋体"/>
                <w:color w:val="000000"/>
                <w:kern w:val="0"/>
                <w:sz w:val="20"/>
                <w:szCs w:val="20"/>
                <w:highlight w:val="none"/>
              </w:rPr>
              <w:t>实施单位</w:t>
            </w:r>
          </w:p>
        </w:tc>
        <w:tc>
          <w:tcPr>
            <w:tcW w:w="2380" w:type="dxa"/>
            <w:tcBorders>
              <w:tl2br w:val="nil"/>
              <w:tr2bl w:val="nil"/>
            </w:tcBorders>
            <w:vAlign w:val="center"/>
          </w:tcPr>
          <w:p>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1"/>
                <w:szCs w:val="21"/>
                <w:highlight w:val="none"/>
                <w:u w:val="none"/>
                <w:lang w:val="en-US" w:eastAsia="zh-CN" w:bidi="ar"/>
              </w:rPr>
              <w:t>淮北市商务局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项目来源</w:t>
            </w:r>
          </w:p>
        </w:tc>
        <w:tc>
          <w:tcPr>
            <w:tcW w:w="3349" w:type="dxa"/>
            <w:gridSpan w:val="2"/>
            <w:tcBorders>
              <w:tl2br w:val="nil"/>
              <w:tr2bl w:val="nil"/>
            </w:tcBorders>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iCs w:val="0"/>
                <w:color w:val="000000"/>
                <w:kern w:val="0"/>
                <w:sz w:val="20"/>
                <w:szCs w:val="20"/>
                <w:highlight w:val="none"/>
                <w:u w:val="none"/>
                <w:lang w:val="en-US" w:eastAsia="zh-CN" w:bidi="ar"/>
              </w:rPr>
              <w:t>本级申报项目</w:t>
            </w:r>
          </w:p>
        </w:tc>
        <w:tc>
          <w:tcPr>
            <w:tcW w:w="1848" w:type="dxa"/>
            <w:tcBorders>
              <w:tl2br w:val="nil"/>
              <w:tr2bl w:val="nil"/>
            </w:tcBorders>
            <w:vAlign w:val="center"/>
          </w:tcPr>
          <w:p>
            <w:pPr>
              <w:widowControl/>
              <w:jc w:val="center"/>
              <w:textAlignment w:val="center"/>
              <w:rPr>
                <w:highlight w:val="none"/>
              </w:rPr>
            </w:pPr>
            <w:r>
              <w:rPr>
                <w:rFonts w:hint="eastAsia" w:ascii="宋体" w:hAnsi="宋体" w:eastAsia="宋体" w:cs="宋体"/>
                <w:color w:val="000000"/>
                <w:kern w:val="0"/>
                <w:sz w:val="20"/>
                <w:szCs w:val="20"/>
                <w:highlight w:val="none"/>
              </w:rPr>
              <w:t>项目期</w:t>
            </w:r>
          </w:p>
        </w:tc>
        <w:tc>
          <w:tcPr>
            <w:tcW w:w="2380" w:type="dxa"/>
            <w:tcBorders>
              <w:tl2br w:val="nil"/>
              <w:tr2bl w:val="nil"/>
            </w:tcBorders>
            <w:vAlign w:val="center"/>
          </w:tcPr>
          <w:p>
            <w:pPr>
              <w:keepNext w:val="0"/>
              <w:keepLines w:val="0"/>
              <w:widowControl/>
              <w:suppressLineNumbers w:val="0"/>
              <w:jc w:val="center"/>
              <w:textAlignment w:val="center"/>
              <w:rPr>
                <w:highlight w:val="none"/>
              </w:rPr>
            </w:pPr>
            <w:r>
              <w:rPr>
                <w:rStyle w:val="12"/>
                <w:rFonts w:eastAsia="宋体"/>
                <w:highlight w:val="none"/>
                <w:lang w:val="en-US" w:eastAsia="zh-CN" w:bidi="ar"/>
              </w:rPr>
              <w:t xml:space="preserve"> 1</w:t>
            </w:r>
            <w:r>
              <w:rPr>
                <w:rStyle w:val="13"/>
                <w:highlight w:val="none"/>
                <w:lang w:val="en-US" w:eastAsia="zh-CN"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项目资金</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（万元）</w:t>
            </w:r>
          </w:p>
        </w:tc>
        <w:tc>
          <w:tcPr>
            <w:tcW w:w="3349" w:type="dxa"/>
            <w:gridSpan w:val="2"/>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 xml:space="preserve"> 年度资金总额：</w:t>
            </w:r>
          </w:p>
        </w:tc>
        <w:tc>
          <w:tcPr>
            <w:tcW w:w="4228" w:type="dxa"/>
            <w:gridSpan w:val="2"/>
            <w:tcBorders>
              <w:tl2br w:val="nil"/>
              <w:tr2bl w:val="nil"/>
            </w:tcBorders>
            <w:vAlign w:val="center"/>
          </w:tcPr>
          <w:p>
            <w:pPr>
              <w:jc w:val="right"/>
              <w:rPr>
                <w:rFonts w:ascii="宋体" w:cs="宋体"/>
                <w:sz w:val="20"/>
                <w:highlight w:val="none"/>
              </w:rPr>
            </w:pPr>
            <w:r>
              <w:rPr>
                <w:rFonts w:hint="eastAsia" w:ascii="宋体" w:cs="宋体"/>
                <w:sz w:val="20"/>
                <w:highlight w:val="none"/>
                <w:lang w:val="en-US" w:eastAsia="zh-CN"/>
              </w:rPr>
              <w:t>60万元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宋体" w:cs="宋体"/>
                <w:sz w:val="20"/>
                <w:highlight w:val="none"/>
              </w:rPr>
            </w:pPr>
          </w:p>
        </w:tc>
        <w:tc>
          <w:tcPr>
            <w:tcW w:w="3349" w:type="dxa"/>
            <w:gridSpan w:val="2"/>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 xml:space="preserve">   其中：财政拨款</w:t>
            </w:r>
          </w:p>
        </w:tc>
        <w:tc>
          <w:tcPr>
            <w:tcW w:w="4228" w:type="dxa"/>
            <w:gridSpan w:val="2"/>
            <w:tcBorders>
              <w:tl2br w:val="nil"/>
              <w:tr2bl w:val="nil"/>
            </w:tcBorders>
            <w:vAlign w:val="center"/>
          </w:tcPr>
          <w:p>
            <w:pPr>
              <w:jc w:val="right"/>
              <w:rPr>
                <w:rFonts w:ascii="宋体" w:cs="宋体"/>
                <w:sz w:val="20"/>
                <w:highlight w:val="none"/>
              </w:rPr>
            </w:pPr>
            <w:r>
              <w:rPr>
                <w:rFonts w:hint="eastAsia" w:ascii="宋体" w:cs="宋体"/>
                <w:sz w:val="20"/>
                <w:highlight w:val="none"/>
                <w:lang w:val="en-US" w:eastAsia="zh-CN"/>
              </w:rPr>
              <w:t>60万元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宋体" w:cs="宋体"/>
                <w:sz w:val="20"/>
                <w:highlight w:val="none"/>
              </w:rPr>
            </w:pPr>
          </w:p>
        </w:tc>
        <w:tc>
          <w:tcPr>
            <w:tcW w:w="3349" w:type="dxa"/>
            <w:gridSpan w:val="2"/>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 xml:space="preserve">         上年结转</w:t>
            </w:r>
          </w:p>
        </w:tc>
        <w:tc>
          <w:tcPr>
            <w:tcW w:w="4228" w:type="dxa"/>
            <w:gridSpan w:val="2"/>
            <w:tcBorders>
              <w:tl2br w:val="nil"/>
              <w:tr2bl w:val="nil"/>
            </w:tcBorders>
            <w:vAlign w:val="center"/>
          </w:tcPr>
          <w:p>
            <w:pPr>
              <w:jc w:val="center"/>
              <w:rPr>
                <w:rFonts w:ascii="宋体" w:cs="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宋体" w:cs="宋体"/>
                <w:sz w:val="20"/>
                <w:highlight w:val="none"/>
              </w:rPr>
            </w:pPr>
          </w:p>
        </w:tc>
        <w:tc>
          <w:tcPr>
            <w:tcW w:w="3349" w:type="dxa"/>
            <w:gridSpan w:val="2"/>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 xml:space="preserve">         其他资金</w:t>
            </w:r>
          </w:p>
        </w:tc>
        <w:tc>
          <w:tcPr>
            <w:tcW w:w="4228" w:type="dxa"/>
            <w:gridSpan w:val="2"/>
            <w:tcBorders>
              <w:tl2br w:val="nil"/>
              <w:tr2bl w:val="nil"/>
            </w:tcBorders>
            <w:vAlign w:val="center"/>
          </w:tcPr>
          <w:p>
            <w:pPr>
              <w:jc w:val="right"/>
              <w:rPr>
                <w:rFonts w:ascii="宋体" w:cs="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年度</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目标</w:t>
            </w:r>
          </w:p>
        </w:tc>
        <w:tc>
          <w:tcPr>
            <w:tcW w:w="8582" w:type="dxa"/>
            <w:gridSpan w:val="6"/>
            <w:tcBorders>
              <w:tl2br w:val="nil"/>
              <w:tr2bl w:val="nil"/>
            </w:tcBorders>
            <w:vAlign w:val="center"/>
          </w:tcPr>
          <w:p>
            <w:pPr>
              <w:jc w:val="left"/>
              <w:rPr>
                <w:rFonts w:hint="eastAsia" w:ascii="宋体" w:cs="宋体"/>
                <w:sz w:val="20"/>
                <w:highlight w:val="none"/>
              </w:rPr>
            </w:pPr>
            <w:r>
              <w:rPr>
                <w:rFonts w:hint="eastAsia" w:ascii="宋体" w:cs="宋体"/>
                <w:sz w:val="20"/>
                <w:highlight w:val="none"/>
              </w:rPr>
              <w:t>建立健全生活必需品市场供应应急管理机制，及时准确对市场运行情况、商品价格信息、商品供求状况进行监测分析，促进内贸流通新升级，培育壮大市场主体。</w:t>
            </w:r>
          </w:p>
          <w:p>
            <w:pPr>
              <w:jc w:val="left"/>
              <w:rPr>
                <w:rFonts w:ascii="宋体" w:cs="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绩</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效</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指</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标</w:t>
            </w:r>
          </w:p>
        </w:tc>
        <w:tc>
          <w:tcPr>
            <w:tcW w:w="723" w:type="dxa"/>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一级</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指标</w:t>
            </w:r>
          </w:p>
        </w:tc>
        <w:tc>
          <w:tcPr>
            <w:tcW w:w="759" w:type="dxa"/>
            <w:gridSpan w:val="2"/>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二级指标</w:t>
            </w:r>
          </w:p>
        </w:tc>
        <w:tc>
          <w:tcPr>
            <w:tcW w:w="2872" w:type="dxa"/>
            <w:tcBorders>
              <w:tl2br w:val="nil"/>
              <w:tr2bl w:val="nil"/>
            </w:tcBorders>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三级指标</w:t>
            </w:r>
          </w:p>
        </w:tc>
        <w:tc>
          <w:tcPr>
            <w:tcW w:w="4228" w:type="dxa"/>
            <w:gridSpan w:val="2"/>
            <w:tcBorders>
              <w:tl2br w:val="nil"/>
              <w:tr2bl w:val="nil"/>
            </w:tcBorders>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vMerge w:val="restart"/>
            <w:tcBorders>
              <w:tl2br w:val="nil"/>
              <w:tr2bl w:val="nil"/>
            </w:tcBorders>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产出指标</w:t>
            </w:r>
          </w:p>
        </w:tc>
        <w:tc>
          <w:tcPr>
            <w:tcW w:w="759" w:type="dxa"/>
            <w:gridSpan w:val="2"/>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数量指标</w:t>
            </w:r>
          </w:p>
        </w:tc>
        <w:tc>
          <w:tcPr>
            <w:tcW w:w="2872" w:type="dxa"/>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指标1：支持展会次数</w:t>
            </w:r>
          </w:p>
        </w:tc>
        <w:tc>
          <w:tcPr>
            <w:tcW w:w="4228" w:type="dxa"/>
            <w:gridSpan w:val="2"/>
            <w:tcBorders>
              <w:tl2br w:val="nil"/>
              <w:tr2bl w:val="nil"/>
            </w:tcBorders>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iCs w:val="0"/>
                <w:color w:val="000000"/>
                <w:kern w:val="0"/>
                <w:sz w:val="20"/>
                <w:szCs w:val="20"/>
                <w:highlight w:val="none"/>
                <w:u w:val="none"/>
                <w:lang w:val="en-US" w:eastAsia="zh-CN" w:bidi="ar"/>
              </w:rPr>
              <w:t>≥6次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vMerge w:val="continue"/>
            <w:tcBorders>
              <w:tl2br w:val="nil"/>
              <w:tr2bl w:val="nil"/>
            </w:tcBorders>
            <w:vAlign w:val="center"/>
          </w:tcPr>
          <w:p>
            <w:pPr>
              <w:jc w:val="center"/>
              <w:rPr>
                <w:rFonts w:ascii="宋体" w:cs="宋体"/>
                <w:sz w:val="20"/>
                <w:highlight w:val="none"/>
              </w:rPr>
            </w:pPr>
          </w:p>
        </w:tc>
        <w:tc>
          <w:tcPr>
            <w:tcW w:w="759" w:type="dxa"/>
            <w:gridSpan w:val="2"/>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质量指标</w:t>
            </w:r>
          </w:p>
        </w:tc>
        <w:tc>
          <w:tcPr>
            <w:tcW w:w="2872" w:type="dxa"/>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指标1：资金支出的合规性</w:t>
            </w:r>
          </w:p>
        </w:tc>
        <w:tc>
          <w:tcPr>
            <w:tcW w:w="4228" w:type="dxa"/>
            <w:gridSpan w:val="2"/>
            <w:tcBorders>
              <w:tl2br w:val="nil"/>
              <w:tr2bl w:val="nil"/>
            </w:tcBorders>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iCs w:val="0"/>
                <w:color w:val="000000"/>
                <w:kern w:val="0"/>
                <w:sz w:val="20"/>
                <w:szCs w:val="20"/>
                <w:highlight w:val="none"/>
                <w:u w:val="none"/>
                <w:lang w:val="en-US" w:eastAsia="zh-CN" w:bidi="ar"/>
              </w:rPr>
              <w:t>合规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vMerge w:val="continue"/>
            <w:tcBorders>
              <w:tl2br w:val="nil"/>
              <w:tr2bl w:val="nil"/>
            </w:tcBorders>
            <w:vAlign w:val="center"/>
          </w:tcPr>
          <w:p>
            <w:pPr>
              <w:jc w:val="center"/>
              <w:rPr>
                <w:rFonts w:ascii="宋体" w:cs="宋体"/>
                <w:sz w:val="20"/>
                <w:highlight w:val="none"/>
              </w:rPr>
            </w:pPr>
          </w:p>
        </w:tc>
        <w:tc>
          <w:tcPr>
            <w:tcW w:w="759" w:type="dxa"/>
            <w:gridSpan w:val="2"/>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时效指标</w:t>
            </w:r>
          </w:p>
        </w:tc>
        <w:tc>
          <w:tcPr>
            <w:tcW w:w="2872" w:type="dxa"/>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指标1：资金支出的及时性</w:t>
            </w:r>
          </w:p>
        </w:tc>
        <w:tc>
          <w:tcPr>
            <w:tcW w:w="4228" w:type="dxa"/>
            <w:gridSpan w:val="2"/>
            <w:tcBorders>
              <w:tl2br w:val="nil"/>
              <w:tr2bl w:val="nil"/>
            </w:tcBorders>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iCs w:val="0"/>
                <w:color w:val="000000"/>
                <w:kern w:val="0"/>
                <w:sz w:val="20"/>
                <w:szCs w:val="20"/>
                <w:highlight w:val="none"/>
                <w:u w:val="none"/>
                <w:lang w:val="en-US" w:eastAsia="zh-CN" w:bidi="ar"/>
              </w:rPr>
              <w:t>资金支付及时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vMerge w:val="continue"/>
            <w:tcBorders>
              <w:tl2br w:val="nil"/>
              <w:tr2bl w:val="nil"/>
            </w:tcBorders>
            <w:vAlign w:val="center"/>
          </w:tcPr>
          <w:p>
            <w:pPr>
              <w:jc w:val="center"/>
              <w:rPr>
                <w:rFonts w:ascii="宋体" w:cs="宋体"/>
                <w:sz w:val="20"/>
                <w:highlight w:val="none"/>
              </w:rPr>
            </w:pPr>
          </w:p>
        </w:tc>
        <w:tc>
          <w:tcPr>
            <w:tcW w:w="759" w:type="dxa"/>
            <w:gridSpan w:val="2"/>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成本指标</w:t>
            </w:r>
          </w:p>
        </w:tc>
        <w:tc>
          <w:tcPr>
            <w:tcW w:w="2872" w:type="dxa"/>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指标1：费用支出总额</w:t>
            </w:r>
          </w:p>
        </w:tc>
        <w:tc>
          <w:tcPr>
            <w:tcW w:w="4228" w:type="dxa"/>
            <w:gridSpan w:val="2"/>
            <w:tcBorders>
              <w:tl2br w:val="nil"/>
              <w:tr2bl w:val="nil"/>
            </w:tcBorders>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iCs w:val="0"/>
                <w:color w:val="000000"/>
                <w:kern w:val="0"/>
                <w:sz w:val="20"/>
                <w:szCs w:val="20"/>
                <w:highlight w:val="none"/>
                <w:u w:val="none"/>
                <w:lang w:val="en-US" w:eastAsia="zh-CN" w:bidi="ar"/>
              </w:rPr>
              <w:t>60万元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vMerge w:val="restart"/>
            <w:tcBorders>
              <w:tl2br w:val="nil"/>
              <w:tr2bl w:val="nil"/>
            </w:tcBorders>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效益指标</w:t>
            </w:r>
          </w:p>
        </w:tc>
        <w:tc>
          <w:tcPr>
            <w:tcW w:w="759" w:type="dxa"/>
            <w:gridSpan w:val="2"/>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经济效益指标</w:t>
            </w:r>
          </w:p>
        </w:tc>
        <w:tc>
          <w:tcPr>
            <w:tcW w:w="2872" w:type="dxa"/>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指标1：对促进消费，实现社会消费品零售增长影响程度</w:t>
            </w:r>
          </w:p>
        </w:tc>
        <w:tc>
          <w:tcPr>
            <w:tcW w:w="4228" w:type="dxa"/>
            <w:gridSpan w:val="2"/>
            <w:tcBorders>
              <w:tl2br w:val="nil"/>
              <w:tr2bl w:val="nil"/>
            </w:tcBorders>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iCs w:val="0"/>
                <w:color w:val="000000"/>
                <w:kern w:val="0"/>
                <w:sz w:val="20"/>
                <w:szCs w:val="20"/>
                <w:highlight w:val="none"/>
                <w:u w:val="none"/>
                <w:lang w:val="en-US" w:eastAsia="zh-CN" w:bidi="ar"/>
              </w:rPr>
              <w:t>影响程度明显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vMerge w:val="continue"/>
            <w:tcBorders>
              <w:tl2br w:val="nil"/>
              <w:tr2bl w:val="nil"/>
            </w:tcBorders>
            <w:vAlign w:val="center"/>
          </w:tcPr>
          <w:p>
            <w:pPr>
              <w:jc w:val="center"/>
              <w:rPr>
                <w:rFonts w:ascii="宋体" w:cs="宋体"/>
                <w:sz w:val="20"/>
                <w:highlight w:val="none"/>
              </w:rPr>
            </w:pPr>
          </w:p>
        </w:tc>
        <w:tc>
          <w:tcPr>
            <w:tcW w:w="759" w:type="dxa"/>
            <w:gridSpan w:val="2"/>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社会效益指标</w:t>
            </w:r>
          </w:p>
        </w:tc>
        <w:tc>
          <w:tcPr>
            <w:tcW w:w="2872" w:type="dxa"/>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指标1：市场消费稳定增长程度</w:t>
            </w:r>
          </w:p>
        </w:tc>
        <w:tc>
          <w:tcPr>
            <w:tcW w:w="4228" w:type="dxa"/>
            <w:gridSpan w:val="2"/>
            <w:tcBorders>
              <w:tl2br w:val="nil"/>
              <w:tr2bl w:val="nil"/>
            </w:tcBorders>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iCs w:val="0"/>
                <w:color w:val="000000"/>
                <w:kern w:val="0"/>
                <w:sz w:val="20"/>
                <w:szCs w:val="20"/>
                <w:highlight w:val="none"/>
                <w:u w:val="none"/>
                <w:lang w:val="en-US" w:eastAsia="zh-CN" w:bidi="ar"/>
              </w:rPr>
              <w:t>社会消费品零售额同比增长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vMerge w:val="continue"/>
            <w:tcBorders>
              <w:tl2br w:val="nil"/>
              <w:tr2bl w:val="nil"/>
            </w:tcBorders>
            <w:vAlign w:val="center"/>
          </w:tcPr>
          <w:p>
            <w:pPr>
              <w:jc w:val="center"/>
              <w:rPr>
                <w:rFonts w:ascii="宋体" w:cs="宋体"/>
                <w:sz w:val="20"/>
                <w:highlight w:val="none"/>
              </w:rPr>
            </w:pPr>
          </w:p>
        </w:tc>
        <w:tc>
          <w:tcPr>
            <w:tcW w:w="759" w:type="dxa"/>
            <w:gridSpan w:val="2"/>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生态效益指标</w:t>
            </w:r>
          </w:p>
        </w:tc>
        <w:tc>
          <w:tcPr>
            <w:tcW w:w="2872" w:type="dxa"/>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指标1：国家生态环保要求</w:t>
            </w:r>
          </w:p>
        </w:tc>
        <w:tc>
          <w:tcPr>
            <w:tcW w:w="4228" w:type="dxa"/>
            <w:gridSpan w:val="2"/>
            <w:tcBorders>
              <w:tl2br w:val="nil"/>
              <w:tr2bl w:val="nil"/>
            </w:tcBorders>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iCs w:val="0"/>
                <w:color w:val="000000"/>
                <w:kern w:val="0"/>
                <w:sz w:val="20"/>
                <w:szCs w:val="20"/>
                <w:highlight w:val="none"/>
                <w:u w:val="none"/>
                <w:lang w:val="en-US" w:eastAsia="zh-CN" w:bidi="ar"/>
              </w:rPr>
              <w:t>符合国家生态环保要求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vMerge w:val="continue"/>
            <w:tcBorders>
              <w:tl2br w:val="nil"/>
              <w:tr2bl w:val="nil"/>
            </w:tcBorders>
            <w:vAlign w:val="center"/>
          </w:tcPr>
          <w:p>
            <w:pPr>
              <w:jc w:val="center"/>
              <w:rPr>
                <w:rFonts w:ascii="宋体" w:cs="宋体"/>
                <w:sz w:val="20"/>
                <w:highlight w:val="none"/>
              </w:rPr>
            </w:pPr>
          </w:p>
        </w:tc>
        <w:tc>
          <w:tcPr>
            <w:tcW w:w="759" w:type="dxa"/>
            <w:gridSpan w:val="2"/>
            <w:tcBorders>
              <w:tl2br w:val="nil"/>
              <w:tr2bl w:val="nil"/>
            </w:tcBorders>
            <w:vAlign w:val="center"/>
          </w:tcPr>
          <w:p>
            <w:pPr>
              <w:widowControl/>
              <w:spacing w:line="200" w:lineRule="exact"/>
              <w:jc w:val="center"/>
              <w:rPr>
                <w:rFonts w:ascii="宋体" w:hAnsi="宋体" w:eastAsia="宋体" w:cs="宋体"/>
                <w:sz w:val="20"/>
                <w:highlight w:val="none"/>
              </w:rPr>
            </w:pPr>
            <w:r>
              <w:rPr>
                <w:rFonts w:hint="eastAsia" w:ascii="宋体" w:hAnsi="宋体" w:eastAsia="宋体" w:cs="宋体"/>
                <w:sz w:val="20"/>
                <w:highlight w:val="none"/>
              </w:rPr>
              <w:t>可持续影响指标</w:t>
            </w:r>
          </w:p>
        </w:tc>
        <w:tc>
          <w:tcPr>
            <w:tcW w:w="2872" w:type="dxa"/>
            <w:tcBorders>
              <w:tl2br w:val="nil"/>
              <w:tr2bl w:val="nil"/>
            </w:tcBorders>
            <w:vAlign w:val="center"/>
          </w:tcPr>
          <w:p>
            <w:pPr>
              <w:widowControl/>
              <w:jc w:val="left"/>
              <w:textAlignment w:val="center"/>
              <w:rPr>
                <w:rFonts w:ascii="宋体" w:hAnsi="宋体" w:eastAsia="宋体" w:cs="宋体"/>
                <w:sz w:val="20"/>
                <w:highlight w:val="none"/>
              </w:rPr>
            </w:pPr>
            <w:r>
              <w:rPr>
                <w:rFonts w:hint="eastAsia" w:ascii="宋体" w:hAnsi="宋体" w:eastAsia="宋体" w:cs="宋体"/>
                <w:color w:val="000000"/>
                <w:kern w:val="0"/>
                <w:sz w:val="20"/>
                <w:szCs w:val="20"/>
                <w:highlight w:val="none"/>
              </w:rPr>
              <w:t>指标1：商务经济运行持续发展情况</w:t>
            </w:r>
          </w:p>
        </w:tc>
        <w:tc>
          <w:tcPr>
            <w:tcW w:w="4228" w:type="dxa"/>
            <w:gridSpan w:val="2"/>
            <w:tcBorders>
              <w:tl2br w:val="nil"/>
              <w:tr2bl w:val="nil"/>
            </w:tcBorders>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iCs w:val="0"/>
                <w:color w:val="000000"/>
                <w:kern w:val="0"/>
                <w:sz w:val="20"/>
                <w:szCs w:val="20"/>
                <w:highlight w:val="none"/>
                <w:u w:val="none"/>
                <w:lang w:val="en-US" w:eastAsia="zh-CN" w:bidi="ar"/>
              </w:rPr>
              <w:t>促进内贸流通新升级，推动对外贸易新增长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tcBorders>
              <w:tl2br w:val="nil"/>
              <w:tr2bl w:val="nil"/>
            </w:tcBorders>
            <w:vAlign w:val="center"/>
          </w:tcPr>
          <w:p>
            <w:pPr>
              <w:widowControl/>
              <w:spacing w:line="200" w:lineRule="exact"/>
              <w:jc w:val="center"/>
              <w:rPr>
                <w:rFonts w:ascii="宋体" w:hAnsi="宋体" w:eastAsia="宋体" w:cs="宋体"/>
                <w:sz w:val="20"/>
                <w:highlight w:val="none"/>
              </w:rPr>
            </w:pPr>
            <w:r>
              <w:rPr>
                <w:rFonts w:hint="eastAsia" w:ascii="宋体" w:hAnsi="宋体" w:eastAsia="宋体" w:cs="宋体"/>
                <w:sz w:val="20"/>
                <w:highlight w:val="none"/>
              </w:rPr>
              <w:t>满意度指标</w:t>
            </w:r>
          </w:p>
        </w:tc>
        <w:tc>
          <w:tcPr>
            <w:tcW w:w="759" w:type="dxa"/>
            <w:gridSpan w:val="2"/>
            <w:tcBorders>
              <w:tl2br w:val="nil"/>
              <w:tr2bl w:val="nil"/>
            </w:tcBorders>
            <w:vAlign w:val="center"/>
          </w:tcPr>
          <w:p>
            <w:pPr>
              <w:widowControl/>
              <w:spacing w:line="200" w:lineRule="exact"/>
              <w:jc w:val="center"/>
              <w:rPr>
                <w:rFonts w:ascii="宋体" w:hAnsi="宋体" w:eastAsia="宋体" w:cs="宋体"/>
                <w:sz w:val="20"/>
                <w:highlight w:val="none"/>
              </w:rPr>
            </w:pPr>
            <w:r>
              <w:rPr>
                <w:rFonts w:hint="eastAsia" w:ascii="宋体" w:hAnsi="宋体" w:eastAsia="宋体" w:cs="宋体"/>
                <w:sz w:val="20"/>
                <w:highlight w:val="none"/>
              </w:rPr>
              <w:t>满意度指标</w:t>
            </w:r>
          </w:p>
        </w:tc>
        <w:tc>
          <w:tcPr>
            <w:tcW w:w="2872" w:type="dxa"/>
            <w:tcBorders>
              <w:tl2br w:val="nil"/>
              <w:tr2bl w:val="nil"/>
            </w:tcBorders>
            <w:vAlign w:val="center"/>
          </w:tcPr>
          <w:p>
            <w:pPr>
              <w:widowControl/>
              <w:jc w:val="left"/>
              <w:textAlignment w:val="center"/>
              <w:rPr>
                <w:rFonts w:ascii="宋体" w:hAnsi="宋体" w:eastAsia="宋体" w:cs="宋体"/>
                <w:sz w:val="20"/>
                <w:highlight w:val="none"/>
              </w:rPr>
            </w:pPr>
            <w:r>
              <w:rPr>
                <w:rFonts w:hint="eastAsia" w:ascii="宋体" w:hAnsi="宋体" w:eastAsia="宋体" w:cs="宋体"/>
                <w:color w:val="000000"/>
                <w:kern w:val="0"/>
                <w:sz w:val="20"/>
                <w:szCs w:val="20"/>
                <w:highlight w:val="none"/>
              </w:rPr>
              <w:t>指标1：企业满意度</w:t>
            </w:r>
          </w:p>
        </w:tc>
        <w:tc>
          <w:tcPr>
            <w:tcW w:w="4228" w:type="dxa"/>
            <w:gridSpan w:val="2"/>
            <w:tcBorders>
              <w:tl2br w:val="nil"/>
              <w:tr2bl w:val="nil"/>
            </w:tcBorders>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iCs w:val="0"/>
                <w:color w:val="000000"/>
                <w:kern w:val="0"/>
                <w:sz w:val="20"/>
                <w:szCs w:val="20"/>
                <w:highlight w:val="none"/>
                <w:u w:val="none"/>
                <w:lang w:val="en-US" w:eastAsia="zh-CN" w:bidi="ar"/>
              </w:rPr>
              <w:t>≥90%</w:t>
            </w:r>
          </w:p>
        </w:tc>
      </w:tr>
    </w:tbl>
    <w:p>
      <w:pPr>
        <w:rPr>
          <w:rFonts w:hint="eastAsia" w:ascii="TimesNewRoman" w:hAnsi="TimesNewRoman" w:eastAsia="仿宋_GB2312" w:cs="TimesNewRoman"/>
          <w:kern w:val="0"/>
          <w:sz w:val="32"/>
          <w:szCs w:val="32"/>
          <w:highlight w:val="none"/>
          <w:lang w:val="en-US" w:eastAsia="zh-CN"/>
        </w:rPr>
      </w:pP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lang w:val="en-US" w:eastAsia="zh-CN"/>
        </w:rPr>
        <w:t>2</w:t>
      </w:r>
      <w:r>
        <w:rPr>
          <w:rFonts w:hint="eastAsia" w:ascii="TimesNewRoman" w:hAnsi="TimesNewRoman" w:eastAsia="仿宋_GB2312" w:cs="TimesNewRoman"/>
          <w:kern w:val="0"/>
          <w:sz w:val="32"/>
          <w:szCs w:val="32"/>
          <w:highlight w:val="none"/>
        </w:rPr>
        <w:t>、“</w:t>
      </w:r>
      <w:r>
        <w:rPr>
          <w:rFonts w:hint="eastAsia" w:ascii="仿宋_GB2312" w:hAnsi="Times New Roman" w:eastAsia="仿宋_GB2312" w:cs="Times New Roman"/>
          <w:sz w:val="32"/>
          <w:szCs w:val="32"/>
          <w:highlight w:val="none"/>
          <w:lang w:val="en-US" w:eastAsia="zh-CN"/>
        </w:rPr>
        <w:t>猪肉等重要物资储备资金</w:t>
      </w:r>
      <w:r>
        <w:rPr>
          <w:rFonts w:hint="eastAsia" w:ascii="TimesNewRoman" w:hAnsi="TimesNewRoman" w:eastAsia="仿宋_GB2312" w:cs="TimesNewRoman"/>
          <w:kern w:val="0"/>
          <w:sz w:val="32"/>
          <w:szCs w:val="32"/>
          <w:highlight w:val="none"/>
        </w:rPr>
        <w:t>”项目。</w:t>
      </w: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rPr>
        <w:t>（1）项目概述。猪肉是居民重要的生活必需品之一，也是重要的战略储备物资。市场猪肉的供给变化极易导致其它生活必需品市场的异常波动。目前，政府部门由于缺少必要的调控手段，对平抑市场波动有些乏力，实行生猪储备制度，扩大储备规模，是维护社会政治经济稳定的必要手段。202</w:t>
      </w:r>
      <w:r>
        <w:rPr>
          <w:rFonts w:hint="eastAsia" w:ascii="TimesNewRoman" w:hAnsi="TimesNewRoman" w:eastAsia="仿宋_GB2312" w:cs="TimesNewRoman"/>
          <w:kern w:val="0"/>
          <w:sz w:val="32"/>
          <w:szCs w:val="32"/>
          <w:highlight w:val="none"/>
          <w:lang w:val="en-US" w:eastAsia="zh-CN"/>
        </w:rPr>
        <w:t>5</w:t>
      </w:r>
      <w:r>
        <w:rPr>
          <w:rFonts w:hint="eastAsia" w:ascii="TimesNewRoman" w:hAnsi="TimesNewRoman" w:eastAsia="仿宋_GB2312" w:cs="TimesNewRoman"/>
          <w:kern w:val="0"/>
          <w:sz w:val="32"/>
          <w:szCs w:val="32"/>
          <w:highlight w:val="none"/>
        </w:rPr>
        <w:t>年我市生猪活体储备计划数量5000头，补贴标准40元/头，项目金额20万元。202</w:t>
      </w:r>
      <w:r>
        <w:rPr>
          <w:rFonts w:hint="eastAsia" w:ascii="TimesNewRoman" w:hAnsi="TimesNewRoman" w:eastAsia="仿宋_GB2312" w:cs="TimesNewRoman"/>
          <w:kern w:val="0"/>
          <w:sz w:val="32"/>
          <w:szCs w:val="32"/>
          <w:highlight w:val="none"/>
          <w:lang w:val="en-US" w:eastAsia="zh-CN"/>
        </w:rPr>
        <w:t>5</w:t>
      </w:r>
      <w:r>
        <w:rPr>
          <w:rFonts w:hint="eastAsia" w:ascii="TimesNewRoman" w:hAnsi="TimesNewRoman" w:eastAsia="仿宋_GB2312" w:cs="TimesNewRoman"/>
          <w:kern w:val="0"/>
          <w:sz w:val="32"/>
          <w:szCs w:val="32"/>
          <w:highlight w:val="none"/>
        </w:rPr>
        <w:t>年我市冻猪肉储备计划数量300吨，补贴标准1000元/吨，项目金额30万元。促进生猪生产发展，稳定市场供应。</w:t>
      </w:r>
    </w:p>
    <w:p>
      <w:pPr>
        <w:ind w:firstLine="640" w:firstLineChars="200"/>
        <w:rPr>
          <w:rFonts w:hint="eastAsia" w:ascii="仿宋_GB2312" w:hAnsi="Times New Roman" w:eastAsia="仿宋_GB2312" w:cs="Times New Roman"/>
          <w:sz w:val="32"/>
          <w:szCs w:val="32"/>
          <w:highlight w:val="none"/>
          <w:lang w:val="en-US" w:eastAsia="zh-CN"/>
        </w:rPr>
      </w:pPr>
      <w:r>
        <w:rPr>
          <w:rFonts w:hint="eastAsia" w:ascii="TimesNewRoman" w:hAnsi="TimesNewRoman" w:eastAsia="仿宋_GB2312" w:cs="TimesNewRoman"/>
          <w:kern w:val="0"/>
          <w:sz w:val="32"/>
          <w:szCs w:val="32"/>
          <w:highlight w:val="none"/>
        </w:rPr>
        <w:t>（2）立项依据。</w:t>
      </w:r>
      <w:r>
        <w:rPr>
          <w:rFonts w:hint="default" w:ascii="仿宋_GB2312" w:hAnsi="Times New Roman" w:eastAsia="仿宋_GB2312" w:cs="Times New Roman"/>
          <w:sz w:val="32"/>
          <w:szCs w:val="32"/>
          <w:highlight w:val="none"/>
          <w:lang w:val="en-US" w:eastAsia="zh-CN"/>
        </w:rPr>
        <w:t>安徽省省级储备肉管理办法、淮北市生猪活体储备管理办法</w:t>
      </w:r>
      <w:r>
        <w:rPr>
          <w:rFonts w:hint="eastAsia" w:ascii="仿宋_GB2312" w:hAnsi="Times New Roman" w:eastAsia="仿宋_GB2312" w:cs="Times New Roman"/>
          <w:sz w:val="32"/>
          <w:szCs w:val="32"/>
          <w:highlight w:val="none"/>
          <w:lang w:val="en-US" w:eastAsia="zh-CN"/>
        </w:rPr>
        <w:t>。</w:t>
      </w: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rPr>
        <w:t>（3）实施主体。淮北市商务局</w:t>
      </w: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rPr>
        <w:t>（4）起止时间。202</w:t>
      </w:r>
      <w:r>
        <w:rPr>
          <w:rFonts w:hint="eastAsia" w:ascii="TimesNewRoman" w:hAnsi="TimesNewRoman" w:eastAsia="仿宋_GB2312" w:cs="TimesNewRoman"/>
          <w:kern w:val="0"/>
          <w:sz w:val="32"/>
          <w:szCs w:val="32"/>
          <w:highlight w:val="none"/>
          <w:lang w:val="en-US" w:eastAsia="zh-CN"/>
        </w:rPr>
        <w:t>5</w:t>
      </w:r>
      <w:r>
        <w:rPr>
          <w:rFonts w:hint="eastAsia" w:ascii="TimesNewRoman" w:hAnsi="TimesNewRoman" w:eastAsia="仿宋_GB2312" w:cs="TimesNewRoman"/>
          <w:kern w:val="0"/>
          <w:sz w:val="32"/>
          <w:szCs w:val="32"/>
          <w:highlight w:val="none"/>
        </w:rPr>
        <w:t>年1-12月</w:t>
      </w: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rPr>
        <w:t>（5）项目内容。202</w:t>
      </w:r>
      <w:r>
        <w:rPr>
          <w:rFonts w:hint="eastAsia" w:ascii="TimesNewRoman" w:hAnsi="TimesNewRoman" w:eastAsia="仿宋_GB2312" w:cs="TimesNewRoman"/>
          <w:kern w:val="0"/>
          <w:sz w:val="32"/>
          <w:szCs w:val="32"/>
          <w:highlight w:val="none"/>
          <w:lang w:val="en-US" w:eastAsia="zh-CN"/>
        </w:rPr>
        <w:t>5</w:t>
      </w:r>
      <w:r>
        <w:rPr>
          <w:rFonts w:hint="eastAsia" w:ascii="TimesNewRoman" w:hAnsi="TimesNewRoman" w:eastAsia="仿宋_GB2312" w:cs="TimesNewRoman"/>
          <w:kern w:val="0"/>
          <w:sz w:val="32"/>
          <w:szCs w:val="32"/>
          <w:highlight w:val="none"/>
        </w:rPr>
        <w:t>年我市生猪活体储备计划数量5000头，补贴标准40元/头，项目金额20万元。202</w:t>
      </w:r>
      <w:r>
        <w:rPr>
          <w:rFonts w:hint="eastAsia" w:ascii="TimesNewRoman" w:hAnsi="TimesNewRoman" w:eastAsia="仿宋_GB2312" w:cs="TimesNewRoman"/>
          <w:kern w:val="0"/>
          <w:sz w:val="32"/>
          <w:szCs w:val="32"/>
          <w:highlight w:val="none"/>
          <w:lang w:val="en-US" w:eastAsia="zh-CN"/>
        </w:rPr>
        <w:t>5</w:t>
      </w:r>
      <w:r>
        <w:rPr>
          <w:rFonts w:hint="eastAsia" w:ascii="TimesNewRoman" w:hAnsi="TimesNewRoman" w:eastAsia="仿宋_GB2312" w:cs="TimesNewRoman"/>
          <w:kern w:val="0"/>
          <w:sz w:val="32"/>
          <w:szCs w:val="32"/>
          <w:highlight w:val="none"/>
        </w:rPr>
        <w:t>年我市冻猪肉储备计划数量300吨，补贴标准1000元/吨，项目金额30万元。促进生猪生产发展，稳定市场供应。202</w:t>
      </w:r>
      <w:r>
        <w:rPr>
          <w:rFonts w:hint="eastAsia" w:ascii="TimesNewRoman" w:hAnsi="TimesNewRoman" w:eastAsia="仿宋_GB2312" w:cs="TimesNewRoman"/>
          <w:kern w:val="0"/>
          <w:sz w:val="32"/>
          <w:szCs w:val="32"/>
          <w:highlight w:val="none"/>
          <w:lang w:val="en-US" w:eastAsia="zh-CN"/>
        </w:rPr>
        <w:t>5</w:t>
      </w:r>
      <w:r>
        <w:rPr>
          <w:rFonts w:hint="eastAsia" w:ascii="TimesNewRoman" w:hAnsi="TimesNewRoman" w:eastAsia="仿宋_GB2312" w:cs="TimesNewRoman"/>
          <w:kern w:val="0"/>
          <w:sz w:val="32"/>
          <w:szCs w:val="32"/>
          <w:highlight w:val="none"/>
        </w:rPr>
        <w:t>年我市猪肉等重要物资储备资金50万元。</w:t>
      </w: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rPr>
        <w:t>（6）年度预算安排。202</w:t>
      </w:r>
      <w:r>
        <w:rPr>
          <w:rFonts w:hint="eastAsia" w:ascii="TimesNewRoman" w:hAnsi="TimesNewRoman" w:eastAsia="仿宋_GB2312" w:cs="TimesNewRoman"/>
          <w:kern w:val="0"/>
          <w:sz w:val="32"/>
          <w:szCs w:val="32"/>
          <w:highlight w:val="none"/>
          <w:lang w:val="en-US" w:eastAsia="zh-CN"/>
        </w:rPr>
        <w:t>5</w:t>
      </w:r>
      <w:r>
        <w:rPr>
          <w:rFonts w:hint="eastAsia" w:ascii="TimesNewRoman" w:hAnsi="TimesNewRoman" w:eastAsia="仿宋_GB2312" w:cs="TimesNewRoman"/>
          <w:kern w:val="0"/>
          <w:sz w:val="32"/>
          <w:szCs w:val="32"/>
          <w:highlight w:val="none"/>
        </w:rPr>
        <w:t>年安排预算资金</w:t>
      </w:r>
      <w:r>
        <w:rPr>
          <w:rFonts w:hint="eastAsia" w:ascii="TimesNewRoman" w:hAnsi="TimesNewRoman" w:eastAsia="仿宋_GB2312" w:cs="TimesNewRoman"/>
          <w:kern w:val="0"/>
          <w:sz w:val="32"/>
          <w:szCs w:val="32"/>
          <w:highlight w:val="none"/>
          <w:lang w:val="en-US" w:eastAsia="zh-CN"/>
        </w:rPr>
        <w:t>50</w:t>
      </w:r>
      <w:r>
        <w:rPr>
          <w:rFonts w:hint="eastAsia" w:ascii="TimesNewRoman" w:hAnsi="TimesNewRoman" w:eastAsia="仿宋_GB2312" w:cs="TimesNewRoman"/>
          <w:kern w:val="0"/>
          <w:sz w:val="32"/>
          <w:szCs w:val="32"/>
          <w:highlight w:val="none"/>
        </w:rPr>
        <w:t>万元</w:t>
      </w: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rPr>
        <w:t>（7）绩效目标。促进生猪生产发展，稳定市场供应，每年完成猪肉储备计划数量计划数量。</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pPr>
              <w:widowControl/>
              <w:jc w:val="center"/>
              <w:textAlignment w:val="center"/>
              <w:rPr>
                <w:rFonts w:ascii="宋体" w:cs="宋体"/>
                <w:b/>
                <w:bCs/>
                <w:szCs w:val="32"/>
                <w:highlight w:val="none"/>
              </w:rPr>
            </w:pPr>
            <w:r>
              <w:rPr>
                <w:rFonts w:hint="eastAsia" w:ascii="宋体" w:hAnsi="宋体" w:eastAsia="宋体" w:cs="宋体"/>
                <w:b/>
                <w:color w:val="000000"/>
                <w:kern w:val="0"/>
                <w:sz w:val="28"/>
                <w:szCs w:val="28"/>
                <w:highlight w:val="none"/>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 xml:space="preserve"> （202</w:t>
            </w:r>
            <w:r>
              <w:rPr>
                <w:rFonts w:hint="eastAsia" w:ascii="宋体" w:hAnsi="宋体" w:eastAsia="宋体" w:cs="宋体"/>
                <w:color w:val="000000"/>
                <w:kern w:val="0"/>
                <w:sz w:val="20"/>
                <w:szCs w:val="20"/>
                <w:highlight w:val="none"/>
                <w:lang w:val="en-US" w:eastAsia="zh-CN"/>
              </w:rPr>
              <w:t>5</w:t>
            </w:r>
            <w:r>
              <w:rPr>
                <w:rFonts w:hint="eastAsia" w:ascii="宋体" w:hAnsi="宋体" w:eastAsia="宋体" w:cs="宋体"/>
                <w:color w:val="000000"/>
                <w:kern w:val="0"/>
                <w:sz w:val="20"/>
                <w:szCs w:val="20"/>
                <w:highlight w:val="none"/>
              </w:rPr>
              <w:t xml:space="preserve">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项目名称</w:t>
            </w:r>
          </w:p>
        </w:tc>
        <w:tc>
          <w:tcPr>
            <w:tcW w:w="7577" w:type="dxa"/>
            <w:gridSpan w:val="4"/>
            <w:tcBorders>
              <w:tl2br w:val="nil"/>
              <w:tr2bl w:val="nil"/>
            </w:tcBorders>
            <w:vAlign w:val="center"/>
          </w:tcPr>
          <w:p>
            <w:pPr>
              <w:jc w:val="center"/>
              <w:rPr>
                <w:rFonts w:ascii="宋体" w:cs="宋体"/>
                <w:sz w:val="20"/>
                <w:highlight w:val="none"/>
              </w:rPr>
            </w:pPr>
            <w:r>
              <w:rPr>
                <w:rFonts w:hint="eastAsia" w:ascii="宋体" w:hAnsi="宋体" w:eastAsia="宋体" w:cs="宋体"/>
                <w:color w:val="000000"/>
                <w:kern w:val="0"/>
                <w:sz w:val="20"/>
                <w:szCs w:val="20"/>
                <w:highlight w:val="none"/>
                <w:lang w:val="en-US" w:eastAsia="zh-CN"/>
              </w:rPr>
              <w:t>肉类等重要物资储备资金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主管部门   及代码</w:t>
            </w:r>
          </w:p>
        </w:tc>
        <w:tc>
          <w:tcPr>
            <w:tcW w:w="3349" w:type="dxa"/>
            <w:gridSpan w:val="2"/>
            <w:tcBorders>
              <w:tl2br w:val="nil"/>
              <w:tr2bl w:val="nil"/>
            </w:tcBorders>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iCs w:val="0"/>
                <w:color w:val="000000"/>
                <w:kern w:val="0"/>
                <w:sz w:val="20"/>
                <w:szCs w:val="20"/>
                <w:highlight w:val="none"/>
                <w:u w:val="none"/>
                <w:lang w:val="en-US" w:eastAsia="zh-CN" w:bidi="ar"/>
              </w:rPr>
              <w:t>[288]淮北市商务局</w:t>
            </w:r>
          </w:p>
        </w:tc>
        <w:tc>
          <w:tcPr>
            <w:tcW w:w="1848" w:type="dxa"/>
            <w:tcBorders>
              <w:tl2br w:val="nil"/>
              <w:tr2bl w:val="nil"/>
            </w:tcBorders>
            <w:vAlign w:val="center"/>
          </w:tcPr>
          <w:p>
            <w:pPr>
              <w:widowControl/>
              <w:jc w:val="center"/>
              <w:textAlignment w:val="center"/>
              <w:rPr>
                <w:highlight w:val="none"/>
              </w:rPr>
            </w:pPr>
            <w:r>
              <w:rPr>
                <w:rFonts w:hint="eastAsia" w:ascii="宋体" w:hAnsi="宋体" w:eastAsia="宋体" w:cs="宋体"/>
                <w:color w:val="000000"/>
                <w:kern w:val="0"/>
                <w:sz w:val="20"/>
                <w:szCs w:val="20"/>
                <w:highlight w:val="none"/>
              </w:rPr>
              <w:t>实施单位</w:t>
            </w:r>
          </w:p>
        </w:tc>
        <w:tc>
          <w:tcPr>
            <w:tcW w:w="2380" w:type="dxa"/>
            <w:tcBorders>
              <w:tl2br w:val="nil"/>
              <w:tr2bl w:val="nil"/>
            </w:tcBorders>
            <w:vAlign w:val="center"/>
          </w:tcPr>
          <w:p>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1"/>
                <w:szCs w:val="21"/>
                <w:highlight w:val="none"/>
                <w:u w:val="none"/>
                <w:lang w:val="en-US" w:eastAsia="zh-CN" w:bidi="ar"/>
              </w:rPr>
              <w:t>淮北市商务局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项目来源</w:t>
            </w:r>
          </w:p>
        </w:tc>
        <w:tc>
          <w:tcPr>
            <w:tcW w:w="3349" w:type="dxa"/>
            <w:gridSpan w:val="2"/>
            <w:tcBorders>
              <w:tl2br w:val="nil"/>
              <w:tr2bl w:val="nil"/>
            </w:tcBorders>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iCs w:val="0"/>
                <w:color w:val="000000"/>
                <w:kern w:val="0"/>
                <w:sz w:val="20"/>
                <w:szCs w:val="20"/>
                <w:highlight w:val="none"/>
                <w:u w:val="none"/>
                <w:lang w:val="en-US" w:eastAsia="zh-CN" w:bidi="ar"/>
              </w:rPr>
              <w:t>本级申报项目</w:t>
            </w:r>
          </w:p>
        </w:tc>
        <w:tc>
          <w:tcPr>
            <w:tcW w:w="1848" w:type="dxa"/>
            <w:tcBorders>
              <w:tl2br w:val="nil"/>
              <w:tr2bl w:val="nil"/>
            </w:tcBorders>
            <w:vAlign w:val="center"/>
          </w:tcPr>
          <w:p>
            <w:pPr>
              <w:widowControl/>
              <w:jc w:val="center"/>
              <w:textAlignment w:val="center"/>
              <w:rPr>
                <w:highlight w:val="none"/>
              </w:rPr>
            </w:pPr>
            <w:r>
              <w:rPr>
                <w:rFonts w:hint="eastAsia" w:ascii="宋体" w:hAnsi="宋体" w:eastAsia="宋体" w:cs="宋体"/>
                <w:color w:val="000000"/>
                <w:kern w:val="0"/>
                <w:sz w:val="20"/>
                <w:szCs w:val="20"/>
                <w:highlight w:val="none"/>
              </w:rPr>
              <w:t>项目期</w:t>
            </w:r>
          </w:p>
        </w:tc>
        <w:tc>
          <w:tcPr>
            <w:tcW w:w="2380" w:type="dxa"/>
            <w:tcBorders>
              <w:tl2br w:val="nil"/>
              <w:tr2bl w:val="nil"/>
            </w:tcBorders>
            <w:vAlign w:val="center"/>
          </w:tcPr>
          <w:p>
            <w:pPr>
              <w:keepNext w:val="0"/>
              <w:keepLines w:val="0"/>
              <w:widowControl/>
              <w:suppressLineNumbers w:val="0"/>
              <w:jc w:val="center"/>
              <w:textAlignment w:val="center"/>
              <w:rPr>
                <w:highlight w:val="none"/>
              </w:rPr>
            </w:pPr>
            <w:r>
              <w:rPr>
                <w:rStyle w:val="12"/>
                <w:rFonts w:eastAsia="宋体"/>
                <w:highlight w:val="none"/>
                <w:lang w:val="en-US" w:eastAsia="zh-CN" w:bidi="ar"/>
              </w:rPr>
              <w:t xml:space="preserve"> 1</w:t>
            </w:r>
            <w:r>
              <w:rPr>
                <w:rStyle w:val="13"/>
                <w:highlight w:val="none"/>
                <w:lang w:val="en-US" w:eastAsia="zh-CN"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项目资金</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（万元）</w:t>
            </w:r>
          </w:p>
        </w:tc>
        <w:tc>
          <w:tcPr>
            <w:tcW w:w="3349" w:type="dxa"/>
            <w:gridSpan w:val="2"/>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 xml:space="preserve"> 年度资金总额：</w:t>
            </w:r>
          </w:p>
        </w:tc>
        <w:tc>
          <w:tcPr>
            <w:tcW w:w="4228" w:type="dxa"/>
            <w:gridSpan w:val="2"/>
            <w:tcBorders>
              <w:tl2br w:val="nil"/>
              <w:tr2bl w:val="nil"/>
            </w:tcBorders>
            <w:vAlign w:val="center"/>
          </w:tcPr>
          <w:p>
            <w:pPr>
              <w:jc w:val="right"/>
              <w:rPr>
                <w:rFonts w:hint="default" w:ascii="宋体" w:cs="宋体" w:eastAsiaTheme="minorEastAsia"/>
                <w:sz w:val="20"/>
                <w:highlight w:val="none"/>
                <w:lang w:val="en-US" w:eastAsia="zh-CN"/>
              </w:rPr>
            </w:pPr>
            <w:r>
              <w:rPr>
                <w:rFonts w:hint="eastAsia" w:ascii="宋体" w:cs="宋体"/>
                <w:sz w:val="20"/>
                <w:highlight w:val="none"/>
                <w:lang w:val="en-US" w:eastAsia="zh-CN"/>
              </w:rPr>
              <w:t>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宋体" w:cs="宋体"/>
                <w:sz w:val="20"/>
                <w:highlight w:val="none"/>
              </w:rPr>
            </w:pPr>
          </w:p>
        </w:tc>
        <w:tc>
          <w:tcPr>
            <w:tcW w:w="3349" w:type="dxa"/>
            <w:gridSpan w:val="2"/>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 xml:space="preserve">   其中：财政拨款</w:t>
            </w:r>
          </w:p>
        </w:tc>
        <w:tc>
          <w:tcPr>
            <w:tcW w:w="4228" w:type="dxa"/>
            <w:gridSpan w:val="2"/>
            <w:tcBorders>
              <w:tl2br w:val="nil"/>
              <w:tr2bl w:val="nil"/>
            </w:tcBorders>
            <w:vAlign w:val="center"/>
          </w:tcPr>
          <w:p>
            <w:pPr>
              <w:jc w:val="right"/>
              <w:rPr>
                <w:rFonts w:hint="default" w:ascii="宋体" w:cs="宋体" w:eastAsiaTheme="minorEastAsia"/>
                <w:sz w:val="20"/>
                <w:highlight w:val="none"/>
                <w:lang w:val="en-US" w:eastAsia="zh-CN"/>
              </w:rPr>
            </w:pPr>
            <w:r>
              <w:rPr>
                <w:rFonts w:hint="eastAsia" w:ascii="宋体" w:cs="宋体"/>
                <w:sz w:val="20"/>
                <w:highlight w:val="none"/>
                <w:lang w:val="en-US" w:eastAsia="zh-CN"/>
              </w:rPr>
              <w:t>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宋体" w:cs="宋体"/>
                <w:sz w:val="20"/>
                <w:highlight w:val="none"/>
              </w:rPr>
            </w:pPr>
          </w:p>
        </w:tc>
        <w:tc>
          <w:tcPr>
            <w:tcW w:w="3349" w:type="dxa"/>
            <w:gridSpan w:val="2"/>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 xml:space="preserve">         上年结转</w:t>
            </w:r>
          </w:p>
        </w:tc>
        <w:tc>
          <w:tcPr>
            <w:tcW w:w="4228" w:type="dxa"/>
            <w:gridSpan w:val="2"/>
            <w:tcBorders>
              <w:tl2br w:val="nil"/>
              <w:tr2bl w:val="nil"/>
            </w:tcBorders>
            <w:vAlign w:val="center"/>
          </w:tcPr>
          <w:p>
            <w:pPr>
              <w:jc w:val="center"/>
              <w:rPr>
                <w:rFonts w:ascii="宋体" w:cs="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宋体" w:cs="宋体"/>
                <w:sz w:val="20"/>
                <w:highlight w:val="none"/>
              </w:rPr>
            </w:pPr>
          </w:p>
        </w:tc>
        <w:tc>
          <w:tcPr>
            <w:tcW w:w="3349" w:type="dxa"/>
            <w:gridSpan w:val="2"/>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 xml:space="preserve">         其他资金</w:t>
            </w:r>
          </w:p>
        </w:tc>
        <w:tc>
          <w:tcPr>
            <w:tcW w:w="4228" w:type="dxa"/>
            <w:gridSpan w:val="2"/>
            <w:tcBorders>
              <w:tl2br w:val="nil"/>
              <w:tr2bl w:val="nil"/>
            </w:tcBorders>
            <w:vAlign w:val="center"/>
          </w:tcPr>
          <w:p>
            <w:pPr>
              <w:jc w:val="right"/>
              <w:rPr>
                <w:rFonts w:ascii="宋体" w:cs="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年度</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目标</w:t>
            </w:r>
          </w:p>
        </w:tc>
        <w:tc>
          <w:tcPr>
            <w:tcW w:w="8582" w:type="dxa"/>
            <w:gridSpan w:val="6"/>
            <w:tcBorders>
              <w:tl2br w:val="nil"/>
              <w:tr2bl w:val="nil"/>
            </w:tcBorders>
            <w:vAlign w:val="center"/>
          </w:tcPr>
          <w:p>
            <w:pPr>
              <w:jc w:val="left"/>
              <w:rPr>
                <w:rFonts w:ascii="宋体" w:cs="宋体"/>
                <w:sz w:val="20"/>
                <w:highlight w:val="none"/>
              </w:rPr>
            </w:pPr>
            <w:r>
              <w:rPr>
                <w:rFonts w:hint="eastAsia" w:ascii="宋体" w:hAnsi="宋体" w:eastAsia="宋体" w:cs="宋体"/>
                <w:color w:val="000000"/>
                <w:kern w:val="0"/>
                <w:sz w:val="20"/>
                <w:szCs w:val="20"/>
                <w:highlight w:val="none"/>
              </w:rPr>
              <w:t>促进生猪生产发展，稳定市场供应，每年完成猪肉储备计划数量计划数量。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绩</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效</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指</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标</w:t>
            </w:r>
          </w:p>
        </w:tc>
        <w:tc>
          <w:tcPr>
            <w:tcW w:w="723" w:type="dxa"/>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一级</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指标</w:t>
            </w:r>
          </w:p>
        </w:tc>
        <w:tc>
          <w:tcPr>
            <w:tcW w:w="759" w:type="dxa"/>
            <w:gridSpan w:val="2"/>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二级指标</w:t>
            </w:r>
          </w:p>
        </w:tc>
        <w:tc>
          <w:tcPr>
            <w:tcW w:w="2872" w:type="dxa"/>
            <w:tcBorders>
              <w:tl2br w:val="nil"/>
              <w:tr2bl w:val="nil"/>
            </w:tcBorders>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三级指标</w:t>
            </w:r>
          </w:p>
        </w:tc>
        <w:tc>
          <w:tcPr>
            <w:tcW w:w="4228" w:type="dxa"/>
            <w:gridSpan w:val="2"/>
            <w:tcBorders>
              <w:tl2br w:val="nil"/>
              <w:tr2bl w:val="nil"/>
            </w:tcBorders>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vMerge w:val="restart"/>
            <w:tcBorders>
              <w:tl2br w:val="nil"/>
              <w:tr2bl w:val="nil"/>
            </w:tcBorders>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产出指标</w:t>
            </w:r>
          </w:p>
        </w:tc>
        <w:tc>
          <w:tcPr>
            <w:tcW w:w="759" w:type="dxa"/>
            <w:gridSpan w:val="2"/>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数量指标</w:t>
            </w:r>
          </w:p>
        </w:tc>
        <w:tc>
          <w:tcPr>
            <w:tcW w:w="2872" w:type="dxa"/>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指标1：生猪活体储备计划数量</w:t>
            </w:r>
          </w:p>
        </w:tc>
        <w:tc>
          <w:tcPr>
            <w:tcW w:w="4228" w:type="dxa"/>
            <w:gridSpan w:val="2"/>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highlight w:val="none"/>
                <w:lang w:val="en-US"/>
              </w:rPr>
            </w:pPr>
            <w:r>
              <w:rPr>
                <w:rFonts w:hint="eastAsia" w:ascii="宋体" w:hAnsi="宋体" w:eastAsia="宋体" w:cs="宋体"/>
                <w:i w:val="0"/>
                <w:iCs w:val="0"/>
                <w:color w:val="000000"/>
                <w:kern w:val="0"/>
                <w:sz w:val="20"/>
                <w:szCs w:val="20"/>
                <w:highlight w:val="none"/>
                <w:u w:val="none"/>
                <w:lang w:val="en-US" w:eastAsia="zh-CN" w:bidi="ar"/>
              </w:rPr>
              <w:t>≥5000头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vMerge w:val="continue"/>
            <w:tcBorders>
              <w:tl2br w:val="nil"/>
              <w:tr2bl w:val="nil"/>
            </w:tcBorders>
            <w:vAlign w:val="center"/>
          </w:tcPr>
          <w:p>
            <w:pPr>
              <w:jc w:val="center"/>
              <w:rPr>
                <w:rFonts w:ascii="宋体" w:cs="宋体"/>
                <w:sz w:val="20"/>
                <w:highlight w:val="none"/>
              </w:rPr>
            </w:pPr>
          </w:p>
        </w:tc>
        <w:tc>
          <w:tcPr>
            <w:tcW w:w="759" w:type="dxa"/>
            <w:gridSpan w:val="2"/>
            <w:vMerge w:val="restart"/>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质量指标</w:t>
            </w:r>
          </w:p>
        </w:tc>
        <w:tc>
          <w:tcPr>
            <w:tcW w:w="2872" w:type="dxa"/>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指标1：资金支持方向的合规性</w:t>
            </w:r>
          </w:p>
        </w:tc>
        <w:tc>
          <w:tcPr>
            <w:tcW w:w="4228"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合规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vMerge w:val="continue"/>
            <w:tcBorders>
              <w:tl2br w:val="nil"/>
              <w:tr2bl w:val="nil"/>
            </w:tcBorders>
            <w:vAlign w:val="center"/>
          </w:tcPr>
          <w:p>
            <w:pPr>
              <w:jc w:val="center"/>
              <w:rPr>
                <w:rFonts w:ascii="宋体" w:cs="宋体"/>
                <w:sz w:val="20"/>
                <w:highlight w:val="none"/>
              </w:rPr>
            </w:pPr>
          </w:p>
        </w:tc>
        <w:tc>
          <w:tcPr>
            <w:tcW w:w="759" w:type="dxa"/>
            <w:gridSpan w:val="2"/>
            <w:vMerge w:val="continue"/>
            <w:tcBorders>
              <w:tl2br w:val="nil"/>
              <w:tr2bl w:val="nil"/>
            </w:tcBorders>
            <w:vAlign w:val="center"/>
          </w:tcPr>
          <w:p>
            <w:pPr>
              <w:widowControl/>
              <w:spacing w:line="200" w:lineRule="exact"/>
              <w:jc w:val="center"/>
              <w:textAlignment w:val="center"/>
              <w:rPr>
                <w:rFonts w:hint="eastAsia" w:ascii="宋体" w:hAnsi="宋体" w:eastAsia="宋体" w:cs="宋体"/>
                <w:color w:val="000000"/>
                <w:kern w:val="0"/>
                <w:sz w:val="20"/>
                <w:szCs w:val="20"/>
                <w:highlight w:val="none"/>
              </w:rPr>
            </w:pPr>
          </w:p>
        </w:tc>
        <w:tc>
          <w:tcPr>
            <w:tcW w:w="2872" w:type="dxa"/>
            <w:tcBorders>
              <w:tl2br w:val="nil"/>
              <w:tr2bl w:val="nil"/>
            </w:tcBorders>
            <w:vAlign w:val="center"/>
          </w:tcPr>
          <w:p>
            <w:pPr>
              <w:widowControl/>
              <w:jc w:val="left"/>
              <w:textAlignment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指标</w:t>
            </w:r>
            <w:r>
              <w:rPr>
                <w:rFonts w:hint="eastAsia" w:ascii="宋体" w:hAnsi="宋体" w:eastAsia="宋体" w:cs="宋体"/>
                <w:color w:val="000000"/>
                <w:kern w:val="0"/>
                <w:sz w:val="20"/>
                <w:szCs w:val="20"/>
                <w:highlight w:val="none"/>
                <w:lang w:val="en-US" w:eastAsia="zh-CN"/>
              </w:rPr>
              <w:t>2</w:t>
            </w:r>
            <w:r>
              <w:rPr>
                <w:rFonts w:hint="eastAsia" w:ascii="宋体" w:hAnsi="宋体" w:eastAsia="宋体" w:cs="宋体"/>
                <w:color w:val="000000"/>
                <w:kern w:val="0"/>
                <w:sz w:val="20"/>
                <w:szCs w:val="20"/>
                <w:highlight w:val="none"/>
              </w:rPr>
              <w:t>：资金申报审核的合规性</w:t>
            </w:r>
          </w:p>
        </w:tc>
        <w:tc>
          <w:tcPr>
            <w:tcW w:w="4228"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合规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vMerge w:val="continue"/>
            <w:tcBorders>
              <w:tl2br w:val="nil"/>
              <w:tr2bl w:val="nil"/>
            </w:tcBorders>
            <w:vAlign w:val="center"/>
          </w:tcPr>
          <w:p>
            <w:pPr>
              <w:jc w:val="center"/>
              <w:rPr>
                <w:rFonts w:ascii="宋体" w:cs="宋体"/>
                <w:sz w:val="20"/>
                <w:highlight w:val="none"/>
              </w:rPr>
            </w:pPr>
          </w:p>
        </w:tc>
        <w:tc>
          <w:tcPr>
            <w:tcW w:w="759" w:type="dxa"/>
            <w:gridSpan w:val="2"/>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时效指标</w:t>
            </w:r>
          </w:p>
        </w:tc>
        <w:tc>
          <w:tcPr>
            <w:tcW w:w="2872" w:type="dxa"/>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指标1：兑付资金的时间</w:t>
            </w:r>
          </w:p>
        </w:tc>
        <w:tc>
          <w:tcPr>
            <w:tcW w:w="4228"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vMerge w:val="continue"/>
            <w:tcBorders>
              <w:tl2br w:val="nil"/>
              <w:tr2bl w:val="nil"/>
            </w:tcBorders>
            <w:vAlign w:val="center"/>
          </w:tcPr>
          <w:p>
            <w:pPr>
              <w:jc w:val="center"/>
              <w:rPr>
                <w:rFonts w:ascii="宋体" w:cs="宋体"/>
                <w:sz w:val="20"/>
                <w:highlight w:val="none"/>
              </w:rPr>
            </w:pPr>
          </w:p>
        </w:tc>
        <w:tc>
          <w:tcPr>
            <w:tcW w:w="759" w:type="dxa"/>
            <w:gridSpan w:val="2"/>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成本指标</w:t>
            </w:r>
          </w:p>
        </w:tc>
        <w:tc>
          <w:tcPr>
            <w:tcW w:w="2872" w:type="dxa"/>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指标1：补助标准</w:t>
            </w:r>
          </w:p>
        </w:tc>
        <w:tc>
          <w:tcPr>
            <w:tcW w:w="4228"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40元/头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vMerge w:val="restart"/>
            <w:tcBorders>
              <w:tl2br w:val="nil"/>
              <w:tr2bl w:val="nil"/>
            </w:tcBorders>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效益指标</w:t>
            </w:r>
          </w:p>
        </w:tc>
        <w:tc>
          <w:tcPr>
            <w:tcW w:w="759" w:type="dxa"/>
            <w:gridSpan w:val="2"/>
            <w:vMerge w:val="restart"/>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经济效益指标</w:t>
            </w:r>
          </w:p>
        </w:tc>
        <w:tc>
          <w:tcPr>
            <w:tcW w:w="2872" w:type="dxa"/>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指标1：市场供应</w:t>
            </w:r>
          </w:p>
        </w:tc>
        <w:tc>
          <w:tcPr>
            <w:tcW w:w="4228"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稳定市场供应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vMerge w:val="continue"/>
            <w:tcBorders>
              <w:tl2br w:val="nil"/>
              <w:tr2bl w:val="nil"/>
            </w:tcBorders>
            <w:vAlign w:val="center"/>
          </w:tcPr>
          <w:p>
            <w:pPr>
              <w:widowControl/>
              <w:jc w:val="center"/>
              <w:textAlignment w:val="center"/>
              <w:rPr>
                <w:rFonts w:hint="eastAsia" w:ascii="宋体" w:hAnsi="宋体" w:eastAsia="宋体" w:cs="宋体"/>
                <w:color w:val="000000"/>
                <w:kern w:val="0"/>
                <w:sz w:val="20"/>
                <w:szCs w:val="20"/>
                <w:highlight w:val="none"/>
              </w:rPr>
            </w:pPr>
          </w:p>
        </w:tc>
        <w:tc>
          <w:tcPr>
            <w:tcW w:w="759" w:type="dxa"/>
            <w:gridSpan w:val="2"/>
            <w:vMerge w:val="continue"/>
            <w:tcBorders>
              <w:tl2br w:val="nil"/>
              <w:tr2bl w:val="nil"/>
            </w:tcBorders>
            <w:vAlign w:val="center"/>
          </w:tcPr>
          <w:p>
            <w:pPr>
              <w:widowControl/>
              <w:spacing w:line="200" w:lineRule="exact"/>
              <w:jc w:val="center"/>
              <w:textAlignment w:val="center"/>
              <w:rPr>
                <w:rFonts w:hint="eastAsia" w:ascii="宋体" w:hAnsi="宋体" w:eastAsia="宋体" w:cs="宋体"/>
                <w:color w:val="000000"/>
                <w:kern w:val="0"/>
                <w:sz w:val="20"/>
                <w:szCs w:val="20"/>
                <w:highlight w:val="none"/>
              </w:rPr>
            </w:pPr>
          </w:p>
        </w:tc>
        <w:tc>
          <w:tcPr>
            <w:tcW w:w="2872" w:type="dxa"/>
            <w:tcBorders>
              <w:tl2br w:val="nil"/>
              <w:tr2bl w:val="nil"/>
            </w:tcBorders>
            <w:vAlign w:val="center"/>
          </w:tcPr>
          <w:p>
            <w:pPr>
              <w:widowControl/>
              <w:jc w:val="left"/>
              <w:textAlignment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指标</w:t>
            </w:r>
            <w:r>
              <w:rPr>
                <w:rFonts w:hint="eastAsia" w:ascii="宋体" w:hAnsi="宋体" w:eastAsia="宋体" w:cs="宋体"/>
                <w:color w:val="000000"/>
                <w:kern w:val="0"/>
                <w:sz w:val="20"/>
                <w:szCs w:val="20"/>
                <w:highlight w:val="none"/>
                <w:lang w:val="en-US" w:eastAsia="zh-CN"/>
              </w:rPr>
              <w:t>2：企业生产发展影响</w:t>
            </w:r>
          </w:p>
        </w:tc>
        <w:tc>
          <w:tcPr>
            <w:tcW w:w="4228"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促进生猪生产发展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vMerge w:val="continue"/>
            <w:tcBorders>
              <w:tl2br w:val="nil"/>
              <w:tr2bl w:val="nil"/>
            </w:tcBorders>
            <w:vAlign w:val="center"/>
          </w:tcPr>
          <w:p>
            <w:pPr>
              <w:jc w:val="center"/>
              <w:rPr>
                <w:rFonts w:ascii="宋体" w:cs="宋体"/>
                <w:sz w:val="20"/>
                <w:highlight w:val="none"/>
              </w:rPr>
            </w:pPr>
          </w:p>
        </w:tc>
        <w:tc>
          <w:tcPr>
            <w:tcW w:w="759" w:type="dxa"/>
            <w:gridSpan w:val="2"/>
            <w:vMerge w:val="restart"/>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社会效益指标</w:t>
            </w:r>
          </w:p>
        </w:tc>
        <w:tc>
          <w:tcPr>
            <w:tcW w:w="2872" w:type="dxa"/>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指标1：社会经济秩序影响力</w:t>
            </w:r>
          </w:p>
        </w:tc>
        <w:tc>
          <w:tcPr>
            <w:tcW w:w="4228"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平抑价格波动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vMerge w:val="continue"/>
            <w:tcBorders>
              <w:tl2br w:val="nil"/>
              <w:tr2bl w:val="nil"/>
            </w:tcBorders>
            <w:vAlign w:val="center"/>
          </w:tcPr>
          <w:p>
            <w:pPr>
              <w:jc w:val="center"/>
              <w:rPr>
                <w:rFonts w:ascii="宋体" w:cs="宋体"/>
                <w:sz w:val="20"/>
                <w:highlight w:val="none"/>
              </w:rPr>
            </w:pPr>
          </w:p>
        </w:tc>
        <w:tc>
          <w:tcPr>
            <w:tcW w:w="759" w:type="dxa"/>
            <w:gridSpan w:val="2"/>
            <w:vMerge w:val="continue"/>
            <w:tcBorders>
              <w:tl2br w:val="nil"/>
              <w:tr2bl w:val="nil"/>
            </w:tcBorders>
            <w:vAlign w:val="center"/>
          </w:tcPr>
          <w:p>
            <w:pPr>
              <w:widowControl/>
              <w:spacing w:line="200" w:lineRule="exact"/>
              <w:jc w:val="center"/>
              <w:textAlignment w:val="center"/>
              <w:rPr>
                <w:rFonts w:hint="eastAsia" w:ascii="宋体" w:hAnsi="宋体" w:eastAsia="宋体" w:cs="宋体"/>
                <w:color w:val="000000"/>
                <w:kern w:val="0"/>
                <w:sz w:val="20"/>
                <w:szCs w:val="20"/>
                <w:highlight w:val="none"/>
              </w:rPr>
            </w:pPr>
          </w:p>
        </w:tc>
        <w:tc>
          <w:tcPr>
            <w:tcW w:w="2872" w:type="dxa"/>
            <w:tcBorders>
              <w:tl2br w:val="nil"/>
              <w:tr2bl w:val="nil"/>
            </w:tcBorders>
            <w:vAlign w:val="center"/>
          </w:tcPr>
          <w:p>
            <w:pPr>
              <w:widowControl/>
              <w:jc w:val="left"/>
              <w:textAlignment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指标</w:t>
            </w:r>
            <w:r>
              <w:rPr>
                <w:rFonts w:hint="eastAsia" w:ascii="宋体" w:hAnsi="宋体" w:eastAsia="宋体" w:cs="宋体"/>
                <w:color w:val="000000"/>
                <w:kern w:val="0"/>
                <w:sz w:val="20"/>
                <w:szCs w:val="20"/>
                <w:highlight w:val="none"/>
                <w:lang w:val="en-US" w:eastAsia="zh-CN"/>
              </w:rPr>
              <w:t>2：猪肉市场价格</w:t>
            </w:r>
          </w:p>
        </w:tc>
        <w:tc>
          <w:tcPr>
            <w:tcW w:w="4228"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平抑价格波动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vMerge w:val="continue"/>
            <w:tcBorders>
              <w:tl2br w:val="nil"/>
              <w:tr2bl w:val="nil"/>
            </w:tcBorders>
            <w:vAlign w:val="center"/>
          </w:tcPr>
          <w:p>
            <w:pPr>
              <w:jc w:val="center"/>
              <w:rPr>
                <w:rFonts w:ascii="宋体" w:cs="宋体"/>
                <w:sz w:val="20"/>
                <w:highlight w:val="none"/>
              </w:rPr>
            </w:pPr>
          </w:p>
        </w:tc>
        <w:tc>
          <w:tcPr>
            <w:tcW w:w="759" w:type="dxa"/>
            <w:gridSpan w:val="2"/>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生态效益指标</w:t>
            </w:r>
          </w:p>
        </w:tc>
        <w:tc>
          <w:tcPr>
            <w:tcW w:w="2872" w:type="dxa"/>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指标1：国家生态环保要求</w:t>
            </w:r>
          </w:p>
        </w:tc>
        <w:tc>
          <w:tcPr>
            <w:tcW w:w="4228"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符合国家生态环保要求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vMerge w:val="continue"/>
            <w:tcBorders>
              <w:tl2br w:val="nil"/>
              <w:tr2bl w:val="nil"/>
            </w:tcBorders>
            <w:vAlign w:val="center"/>
          </w:tcPr>
          <w:p>
            <w:pPr>
              <w:jc w:val="center"/>
              <w:rPr>
                <w:rFonts w:ascii="宋体" w:cs="宋体"/>
                <w:sz w:val="20"/>
                <w:highlight w:val="none"/>
              </w:rPr>
            </w:pPr>
          </w:p>
        </w:tc>
        <w:tc>
          <w:tcPr>
            <w:tcW w:w="759" w:type="dxa"/>
            <w:gridSpan w:val="2"/>
            <w:tcBorders>
              <w:tl2br w:val="nil"/>
              <w:tr2bl w:val="nil"/>
            </w:tcBorders>
            <w:vAlign w:val="center"/>
          </w:tcPr>
          <w:p>
            <w:pPr>
              <w:widowControl/>
              <w:spacing w:line="200" w:lineRule="exact"/>
              <w:jc w:val="center"/>
              <w:rPr>
                <w:rFonts w:ascii="宋体" w:hAnsi="宋体" w:eastAsia="宋体" w:cs="宋体"/>
                <w:sz w:val="20"/>
                <w:highlight w:val="none"/>
              </w:rPr>
            </w:pPr>
            <w:r>
              <w:rPr>
                <w:rFonts w:hint="eastAsia" w:ascii="宋体" w:hAnsi="宋体" w:eastAsia="宋体" w:cs="宋体"/>
                <w:sz w:val="20"/>
                <w:highlight w:val="none"/>
              </w:rPr>
              <w:t>可持续影响指标</w:t>
            </w:r>
          </w:p>
        </w:tc>
        <w:tc>
          <w:tcPr>
            <w:tcW w:w="2872" w:type="dxa"/>
            <w:tcBorders>
              <w:tl2br w:val="nil"/>
              <w:tr2bl w:val="nil"/>
            </w:tcBorders>
            <w:vAlign w:val="center"/>
          </w:tcPr>
          <w:p>
            <w:pPr>
              <w:widowControl/>
              <w:jc w:val="left"/>
              <w:textAlignment w:val="center"/>
              <w:rPr>
                <w:rFonts w:ascii="宋体" w:hAnsi="宋体" w:eastAsia="宋体" w:cs="宋体"/>
                <w:sz w:val="20"/>
                <w:highlight w:val="none"/>
              </w:rPr>
            </w:pPr>
            <w:r>
              <w:rPr>
                <w:rFonts w:hint="eastAsia" w:ascii="宋体" w:hAnsi="宋体" w:eastAsia="宋体" w:cs="宋体"/>
                <w:color w:val="000000"/>
                <w:kern w:val="0"/>
                <w:sz w:val="20"/>
                <w:szCs w:val="20"/>
                <w:highlight w:val="none"/>
              </w:rPr>
              <w:t>指标1：生猪市场的持续健康发展</w:t>
            </w:r>
          </w:p>
        </w:tc>
        <w:tc>
          <w:tcPr>
            <w:tcW w:w="4228"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有效平抑猪肉市场价格波动，保证老百姓吃得上放心猪肉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tcBorders>
              <w:tl2br w:val="nil"/>
              <w:tr2bl w:val="nil"/>
            </w:tcBorders>
            <w:vAlign w:val="center"/>
          </w:tcPr>
          <w:p>
            <w:pPr>
              <w:widowControl/>
              <w:spacing w:line="200" w:lineRule="exact"/>
              <w:jc w:val="center"/>
              <w:rPr>
                <w:rFonts w:ascii="宋体" w:hAnsi="宋体" w:eastAsia="宋体" w:cs="宋体"/>
                <w:sz w:val="20"/>
                <w:highlight w:val="none"/>
              </w:rPr>
            </w:pPr>
            <w:r>
              <w:rPr>
                <w:rFonts w:hint="eastAsia" w:ascii="宋体" w:hAnsi="宋体" w:eastAsia="宋体" w:cs="宋体"/>
                <w:sz w:val="20"/>
                <w:highlight w:val="none"/>
              </w:rPr>
              <w:t>满意度指标</w:t>
            </w:r>
          </w:p>
        </w:tc>
        <w:tc>
          <w:tcPr>
            <w:tcW w:w="759" w:type="dxa"/>
            <w:gridSpan w:val="2"/>
            <w:tcBorders>
              <w:tl2br w:val="nil"/>
              <w:tr2bl w:val="nil"/>
            </w:tcBorders>
            <w:vAlign w:val="center"/>
          </w:tcPr>
          <w:p>
            <w:pPr>
              <w:widowControl/>
              <w:spacing w:line="200" w:lineRule="exact"/>
              <w:jc w:val="center"/>
              <w:rPr>
                <w:rFonts w:ascii="宋体" w:hAnsi="宋体" w:eastAsia="宋体" w:cs="宋体"/>
                <w:sz w:val="20"/>
                <w:highlight w:val="none"/>
              </w:rPr>
            </w:pPr>
            <w:r>
              <w:rPr>
                <w:rFonts w:hint="eastAsia" w:ascii="宋体" w:hAnsi="宋体" w:eastAsia="宋体" w:cs="宋体"/>
                <w:sz w:val="20"/>
                <w:highlight w:val="none"/>
              </w:rPr>
              <w:t>满意度指标</w:t>
            </w:r>
          </w:p>
        </w:tc>
        <w:tc>
          <w:tcPr>
            <w:tcW w:w="2872" w:type="dxa"/>
            <w:tcBorders>
              <w:tl2br w:val="nil"/>
              <w:tr2bl w:val="nil"/>
            </w:tcBorders>
            <w:vAlign w:val="center"/>
          </w:tcPr>
          <w:p>
            <w:pPr>
              <w:widowControl/>
              <w:jc w:val="left"/>
              <w:textAlignment w:val="center"/>
              <w:rPr>
                <w:rFonts w:ascii="宋体" w:hAnsi="宋体" w:eastAsia="宋体" w:cs="宋体"/>
                <w:sz w:val="20"/>
                <w:highlight w:val="none"/>
              </w:rPr>
            </w:pPr>
            <w:r>
              <w:rPr>
                <w:rFonts w:hint="eastAsia" w:ascii="宋体" w:hAnsi="宋体" w:eastAsia="宋体" w:cs="宋体"/>
                <w:color w:val="000000"/>
                <w:kern w:val="0"/>
                <w:sz w:val="20"/>
                <w:szCs w:val="20"/>
                <w:highlight w:val="none"/>
              </w:rPr>
              <w:t>指标1：企业满意度</w:t>
            </w:r>
          </w:p>
        </w:tc>
        <w:tc>
          <w:tcPr>
            <w:tcW w:w="4228" w:type="dxa"/>
            <w:gridSpan w:val="2"/>
            <w:tcBorders>
              <w:tl2br w:val="nil"/>
              <w:tr2bl w:val="nil"/>
            </w:tcBorders>
            <w:vAlign w:val="center"/>
          </w:tcPr>
          <w:p>
            <w:pPr>
              <w:keepNext w:val="0"/>
              <w:keepLines w:val="0"/>
              <w:widowControl/>
              <w:suppressLineNumbers w:val="0"/>
              <w:jc w:val="center"/>
              <w:textAlignment w:val="center"/>
              <w:rPr>
                <w:rFonts w:hint="default" w:ascii="宋体" w:cs="宋体" w:eastAsiaTheme="minorEastAsia"/>
                <w:sz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≥90%</w:t>
            </w:r>
          </w:p>
        </w:tc>
      </w:tr>
    </w:tbl>
    <w:p>
      <w:pPr>
        <w:ind w:firstLine="640" w:firstLineChars="200"/>
        <w:rPr>
          <w:rFonts w:hint="eastAsia" w:ascii="TimesNewRoman" w:hAnsi="TimesNewRoman" w:eastAsia="仿宋_GB2312" w:cs="TimesNewRoman"/>
          <w:kern w:val="0"/>
          <w:sz w:val="32"/>
          <w:szCs w:val="32"/>
          <w:highlight w:val="none"/>
          <w:lang w:val="en-US" w:eastAsia="zh-CN"/>
        </w:rPr>
      </w:pP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lang w:val="en-US" w:eastAsia="zh-CN"/>
        </w:rPr>
        <w:t>3</w:t>
      </w:r>
      <w:r>
        <w:rPr>
          <w:rFonts w:hint="eastAsia" w:ascii="TimesNewRoman" w:hAnsi="TimesNewRoman" w:eastAsia="仿宋_GB2312" w:cs="TimesNewRoman"/>
          <w:kern w:val="0"/>
          <w:sz w:val="32"/>
          <w:szCs w:val="32"/>
          <w:highlight w:val="none"/>
        </w:rPr>
        <w:t>、“</w:t>
      </w:r>
      <w:r>
        <w:rPr>
          <w:rFonts w:hint="eastAsia" w:ascii="仿宋_GB2312" w:hAnsi="Times New Roman" w:eastAsia="仿宋_GB2312" w:cs="Times New Roman"/>
          <w:sz w:val="32"/>
          <w:szCs w:val="32"/>
          <w:highlight w:val="none"/>
          <w:lang w:val="en-US" w:eastAsia="zh-CN"/>
        </w:rPr>
        <w:t>文明菜市行动专项经费</w:t>
      </w:r>
      <w:r>
        <w:rPr>
          <w:rFonts w:hint="eastAsia" w:ascii="TimesNewRoman" w:hAnsi="TimesNewRoman" w:eastAsia="仿宋_GB2312" w:cs="TimesNewRoman"/>
          <w:kern w:val="0"/>
          <w:sz w:val="32"/>
          <w:szCs w:val="32"/>
          <w:highlight w:val="none"/>
        </w:rPr>
        <w:t>”项目。</w:t>
      </w: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rPr>
        <w:t>（1）项目概述。通过开展菜市集中整治和改造提升，着力解决菜市中不同程度存在的“臭烘烘、湿漉漉、黑乎乎、乱糟糟”等突出问题，基本实现菜市区域布局合理，内外环境优美，服务功能齐全，物业管理规范，交易秩序井然，长效机制健全的行动目标。</w:t>
      </w:r>
    </w:p>
    <w:p>
      <w:pPr>
        <w:ind w:firstLine="640" w:firstLineChars="200"/>
        <w:rPr>
          <w:rFonts w:hint="eastAsia" w:ascii="仿宋_GB2312" w:hAnsi="Times New Roman" w:eastAsia="仿宋_GB2312" w:cs="Times New Roman"/>
          <w:sz w:val="32"/>
          <w:szCs w:val="32"/>
          <w:highlight w:val="none"/>
          <w:lang w:val="en-US" w:eastAsia="zh-CN"/>
        </w:rPr>
      </w:pPr>
      <w:r>
        <w:rPr>
          <w:rFonts w:hint="eastAsia" w:ascii="TimesNewRoman" w:hAnsi="TimesNewRoman" w:eastAsia="仿宋_GB2312" w:cs="TimesNewRoman"/>
          <w:kern w:val="0"/>
          <w:sz w:val="32"/>
          <w:szCs w:val="32"/>
          <w:highlight w:val="none"/>
        </w:rPr>
        <w:t>（2）立项依据。</w:t>
      </w:r>
      <w:r>
        <w:rPr>
          <w:rFonts w:hint="default" w:ascii="仿宋_GB2312" w:hAnsi="Times New Roman" w:eastAsia="仿宋_GB2312" w:cs="Times New Roman"/>
          <w:sz w:val="32"/>
          <w:szCs w:val="32"/>
          <w:highlight w:val="none"/>
          <w:lang w:val="en-US" w:eastAsia="zh-CN"/>
        </w:rPr>
        <w:t>根据《中共淮北市委办公室  淮北市人民政府办公室关于印发《就业促进行动方案》等“暖民心行动方案”的通知》</w:t>
      </w:r>
      <w:r>
        <w:rPr>
          <w:rFonts w:hint="eastAsia" w:ascii="仿宋_GB2312" w:hAnsi="Times New Roman" w:eastAsia="仿宋_GB2312" w:cs="Times New Roman"/>
          <w:sz w:val="32"/>
          <w:szCs w:val="32"/>
          <w:highlight w:val="none"/>
          <w:lang w:val="en-US" w:eastAsia="zh-CN"/>
        </w:rPr>
        <w:t>。</w:t>
      </w: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rPr>
        <w:t>（3）实施主体。淮北市商务局</w:t>
      </w: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rPr>
        <w:t>（4）起止时间。202</w:t>
      </w:r>
      <w:r>
        <w:rPr>
          <w:rFonts w:hint="eastAsia" w:ascii="TimesNewRoman" w:hAnsi="TimesNewRoman" w:eastAsia="仿宋_GB2312" w:cs="TimesNewRoman"/>
          <w:kern w:val="0"/>
          <w:sz w:val="32"/>
          <w:szCs w:val="32"/>
          <w:highlight w:val="none"/>
          <w:lang w:val="en-US" w:eastAsia="zh-CN"/>
        </w:rPr>
        <w:t>5</w:t>
      </w:r>
      <w:r>
        <w:rPr>
          <w:rFonts w:hint="eastAsia" w:ascii="TimesNewRoman" w:hAnsi="TimesNewRoman" w:eastAsia="仿宋_GB2312" w:cs="TimesNewRoman"/>
          <w:kern w:val="0"/>
          <w:sz w:val="32"/>
          <w:szCs w:val="32"/>
          <w:highlight w:val="none"/>
        </w:rPr>
        <w:t>年1-12月</w:t>
      </w: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rPr>
        <w:t>（5）项目内容。通过开展菜市集中整治和改造提升，着力解决菜市中不同程度存在的“臭烘烘、湿漉漉、黑乎乎、乱糟糟”等突出问题，基本实现菜市区域布局合理，内外环境优美，服务功能齐全，物业管理规范，交易秩序井然，长效机制健全的行动目标。</w:t>
      </w: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rPr>
        <w:t>（6）年度预算安排。202</w:t>
      </w:r>
      <w:r>
        <w:rPr>
          <w:rFonts w:hint="eastAsia" w:ascii="TimesNewRoman" w:hAnsi="TimesNewRoman" w:eastAsia="仿宋_GB2312" w:cs="TimesNewRoman"/>
          <w:kern w:val="0"/>
          <w:sz w:val="32"/>
          <w:szCs w:val="32"/>
          <w:highlight w:val="none"/>
          <w:lang w:val="en-US" w:eastAsia="zh-CN"/>
        </w:rPr>
        <w:t>5</w:t>
      </w:r>
      <w:r>
        <w:rPr>
          <w:rFonts w:hint="eastAsia" w:ascii="TimesNewRoman" w:hAnsi="TimesNewRoman" w:eastAsia="仿宋_GB2312" w:cs="TimesNewRoman"/>
          <w:kern w:val="0"/>
          <w:sz w:val="32"/>
          <w:szCs w:val="32"/>
          <w:highlight w:val="none"/>
        </w:rPr>
        <w:t>年安排预算资金</w:t>
      </w:r>
      <w:r>
        <w:rPr>
          <w:rFonts w:hint="eastAsia" w:ascii="TimesNewRoman" w:hAnsi="TimesNewRoman" w:eastAsia="仿宋_GB2312" w:cs="TimesNewRoman"/>
          <w:kern w:val="0"/>
          <w:sz w:val="32"/>
          <w:szCs w:val="32"/>
          <w:highlight w:val="none"/>
          <w:lang w:val="en-US" w:eastAsia="zh-CN"/>
        </w:rPr>
        <w:t>128</w:t>
      </w:r>
      <w:r>
        <w:rPr>
          <w:rFonts w:hint="eastAsia" w:ascii="TimesNewRoman" w:hAnsi="TimesNewRoman" w:eastAsia="仿宋_GB2312" w:cs="TimesNewRoman"/>
          <w:kern w:val="0"/>
          <w:sz w:val="32"/>
          <w:szCs w:val="32"/>
          <w:highlight w:val="none"/>
        </w:rPr>
        <w:t>万元</w:t>
      </w: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rPr>
        <w:t>（7）绩效目标。全市菜市巩固整治和改造提升资金</w:t>
      </w:r>
      <w:r>
        <w:rPr>
          <w:rFonts w:hint="eastAsia" w:ascii="TimesNewRoman" w:hAnsi="TimesNewRoman" w:eastAsia="仿宋_GB2312" w:cs="TimesNewRoman"/>
          <w:kern w:val="0"/>
          <w:sz w:val="32"/>
          <w:szCs w:val="32"/>
          <w:highlight w:val="none"/>
          <w:lang w:val="en-US" w:eastAsia="zh-CN"/>
        </w:rPr>
        <w:t>128</w:t>
      </w:r>
      <w:r>
        <w:rPr>
          <w:rFonts w:hint="eastAsia" w:ascii="TimesNewRoman" w:hAnsi="TimesNewRoman" w:eastAsia="仿宋_GB2312" w:cs="TimesNewRoman"/>
          <w:kern w:val="0"/>
          <w:sz w:val="32"/>
          <w:szCs w:val="32"/>
          <w:highlight w:val="none"/>
        </w:rPr>
        <w:t>万。</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pPr>
              <w:widowControl/>
              <w:jc w:val="center"/>
              <w:textAlignment w:val="center"/>
              <w:rPr>
                <w:rFonts w:ascii="宋体" w:cs="宋体"/>
                <w:b/>
                <w:bCs/>
                <w:szCs w:val="32"/>
                <w:highlight w:val="none"/>
              </w:rPr>
            </w:pPr>
            <w:r>
              <w:rPr>
                <w:rFonts w:hint="eastAsia" w:ascii="宋体" w:hAnsi="宋体" w:eastAsia="宋体" w:cs="宋体"/>
                <w:b/>
                <w:color w:val="000000"/>
                <w:kern w:val="0"/>
                <w:sz w:val="28"/>
                <w:szCs w:val="28"/>
                <w:highlight w:val="none"/>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 xml:space="preserve"> （202</w:t>
            </w:r>
            <w:r>
              <w:rPr>
                <w:rFonts w:hint="eastAsia" w:ascii="宋体" w:hAnsi="宋体" w:eastAsia="宋体" w:cs="宋体"/>
                <w:color w:val="000000"/>
                <w:kern w:val="0"/>
                <w:sz w:val="20"/>
                <w:szCs w:val="20"/>
                <w:highlight w:val="none"/>
                <w:lang w:val="en-US" w:eastAsia="zh-CN"/>
              </w:rPr>
              <w:t>5</w:t>
            </w:r>
            <w:r>
              <w:rPr>
                <w:rFonts w:hint="eastAsia" w:ascii="宋体" w:hAnsi="宋体" w:eastAsia="宋体" w:cs="宋体"/>
                <w:color w:val="000000"/>
                <w:kern w:val="0"/>
                <w:sz w:val="20"/>
                <w:szCs w:val="20"/>
                <w:highlight w:val="none"/>
              </w:rPr>
              <w:t xml:space="preserve">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项目名称</w:t>
            </w:r>
          </w:p>
        </w:tc>
        <w:tc>
          <w:tcPr>
            <w:tcW w:w="7577" w:type="dxa"/>
            <w:gridSpan w:val="4"/>
            <w:tcBorders>
              <w:tl2br w:val="nil"/>
              <w:tr2bl w:val="nil"/>
            </w:tcBorders>
            <w:vAlign w:val="center"/>
          </w:tcPr>
          <w:p>
            <w:pPr>
              <w:widowControl/>
              <w:jc w:val="center"/>
              <w:textAlignment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文明菜市行动专项经费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主管部门   及代码</w:t>
            </w:r>
          </w:p>
        </w:tc>
        <w:tc>
          <w:tcPr>
            <w:tcW w:w="3349" w:type="dxa"/>
            <w:gridSpan w:val="2"/>
            <w:tcBorders>
              <w:tl2br w:val="nil"/>
              <w:tr2bl w:val="nil"/>
            </w:tcBorders>
            <w:vAlign w:val="center"/>
          </w:tcPr>
          <w:p>
            <w:pPr>
              <w:widowControl/>
              <w:jc w:val="left"/>
              <w:textAlignment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[288]淮北市商务局</w:t>
            </w:r>
          </w:p>
        </w:tc>
        <w:tc>
          <w:tcPr>
            <w:tcW w:w="1848" w:type="dxa"/>
            <w:tcBorders>
              <w:tl2br w:val="nil"/>
              <w:tr2bl w:val="nil"/>
            </w:tcBorders>
            <w:vAlign w:val="center"/>
          </w:tcPr>
          <w:p>
            <w:pPr>
              <w:widowControl/>
              <w:jc w:val="left"/>
              <w:textAlignment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实施单位</w:t>
            </w:r>
          </w:p>
        </w:tc>
        <w:tc>
          <w:tcPr>
            <w:tcW w:w="2380" w:type="dxa"/>
            <w:tcBorders>
              <w:tl2br w:val="nil"/>
              <w:tr2bl w:val="nil"/>
            </w:tcBorders>
            <w:vAlign w:val="center"/>
          </w:tcPr>
          <w:p>
            <w:pPr>
              <w:widowControl/>
              <w:jc w:val="left"/>
              <w:textAlignment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淮北市商务局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项目来源</w:t>
            </w:r>
          </w:p>
        </w:tc>
        <w:tc>
          <w:tcPr>
            <w:tcW w:w="3349" w:type="dxa"/>
            <w:gridSpan w:val="2"/>
            <w:tcBorders>
              <w:tl2br w:val="nil"/>
              <w:tr2bl w:val="nil"/>
            </w:tcBorders>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iCs w:val="0"/>
                <w:color w:val="000000"/>
                <w:kern w:val="0"/>
                <w:sz w:val="20"/>
                <w:szCs w:val="20"/>
                <w:highlight w:val="none"/>
                <w:u w:val="none"/>
                <w:lang w:val="en-US" w:eastAsia="zh-CN" w:bidi="ar"/>
              </w:rPr>
              <w:t>本级申报项目</w:t>
            </w:r>
          </w:p>
        </w:tc>
        <w:tc>
          <w:tcPr>
            <w:tcW w:w="1848" w:type="dxa"/>
            <w:tcBorders>
              <w:tl2br w:val="nil"/>
              <w:tr2bl w:val="nil"/>
            </w:tcBorders>
            <w:vAlign w:val="center"/>
          </w:tcPr>
          <w:p>
            <w:pPr>
              <w:widowControl/>
              <w:jc w:val="center"/>
              <w:textAlignment w:val="center"/>
              <w:rPr>
                <w:highlight w:val="none"/>
              </w:rPr>
            </w:pPr>
            <w:r>
              <w:rPr>
                <w:rFonts w:hint="eastAsia" w:ascii="宋体" w:hAnsi="宋体" w:eastAsia="宋体" w:cs="宋体"/>
                <w:color w:val="000000"/>
                <w:kern w:val="0"/>
                <w:sz w:val="20"/>
                <w:szCs w:val="20"/>
                <w:highlight w:val="none"/>
              </w:rPr>
              <w:t>项目期</w:t>
            </w:r>
          </w:p>
        </w:tc>
        <w:tc>
          <w:tcPr>
            <w:tcW w:w="2380" w:type="dxa"/>
            <w:tcBorders>
              <w:tl2br w:val="nil"/>
              <w:tr2bl w:val="nil"/>
            </w:tcBorders>
            <w:vAlign w:val="center"/>
          </w:tcPr>
          <w:p>
            <w:pPr>
              <w:keepNext w:val="0"/>
              <w:keepLines w:val="0"/>
              <w:widowControl/>
              <w:suppressLineNumbers w:val="0"/>
              <w:jc w:val="center"/>
              <w:textAlignment w:val="center"/>
              <w:rPr>
                <w:highlight w:val="none"/>
              </w:rPr>
            </w:pPr>
            <w:r>
              <w:rPr>
                <w:rStyle w:val="12"/>
                <w:rFonts w:eastAsia="宋体"/>
                <w:highlight w:val="none"/>
                <w:lang w:val="en-US" w:eastAsia="zh-CN" w:bidi="ar"/>
              </w:rPr>
              <w:t xml:space="preserve"> 1</w:t>
            </w:r>
            <w:r>
              <w:rPr>
                <w:rStyle w:val="13"/>
                <w:highlight w:val="none"/>
                <w:lang w:val="en-US" w:eastAsia="zh-CN"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项目资金</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（万元）</w:t>
            </w:r>
          </w:p>
        </w:tc>
        <w:tc>
          <w:tcPr>
            <w:tcW w:w="3349" w:type="dxa"/>
            <w:gridSpan w:val="2"/>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 xml:space="preserve"> 年度资金总额：</w:t>
            </w:r>
          </w:p>
        </w:tc>
        <w:tc>
          <w:tcPr>
            <w:tcW w:w="4228" w:type="dxa"/>
            <w:gridSpan w:val="2"/>
            <w:tcBorders>
              <w:tl2br w:val="nil"/>
              <w:tr2bl w:val="nil"/>
            </w:tcBorders>
            <w:vAlign w:val="center"/>
          </w:tcPr>
          <w:p>
            <w:pPr>
              <w:jc w:val="right"/>
              <w:rPr>
                <w:rFonts w:hint="default" w:ascii="宋体" w:cs="宋体" w:eastAsiaTheme="minorEastAsia"/>
                <w:sz w:val="20"/>
                <w:highlight w:val="none"/>
                <w:lang w:val="en-US" w:eastAsia="zh-CN"/>
              </w:rPr>
            </w:pPr>
            <w:r>
              <w:rPr>
                <w:rFonts w:hint="eastAsia" w:ascii="宋体" w:cs="宋体"/>
                <w:sz w:val="20"/>
                <w:highlight w:val="none"/>
                <w:lang w:val="en-US" w:eastAsia="zh-CN"/>
              </w:rPr>
              <w:t>128万元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宋体" w:cs="宋体"/>
                <w:sz w:val="20"/>
                <w:highlight w:val="none"/>
              </w:rPr>
            </w:pPr>
          </w:p>
        </w:tc>
        <w:tc>
          <w:tcPr>
            <w:tcW w:w="3349" w:type="dxa"/>
            <w:gridSpan w:val="2"/>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 xml:space="preserve">   其中：财政拨款</w:t>
            </w:r>
          </w:p>
        </w:tc>
        <w:tc>
          <w:tcPr>
            <w:tcW w:w="4228" w:type="dxa"/>
            <w:gridSpan w:val="2"/>
            <w:tcBorders>
              <w:tl2br w:val="nil"/>
              <w:tr2bl w:val="nil"/>
            </w:tcBorders>
            <w:vAlign w:val="center"/>
          </w:tcPr>
          <w:p>
            <w:pPr>
              <w:jc w:val="right"/>
              <w:rPr>
                <w:rFonts w:hint="default" w:ascii="宋体" w:cs="宋体" w:eastAsiaTheme="minorEastAsia"/>
                <w:sz w:val="20"/>
                <w:highlight w:val="none"/>
                <w:lang w:val="en-US" w:eastAsia="zh-CN"/>
              </w:rPr>
            </w:pPr>
            <w:r>
              <w:rPr>
                <w:rFonts w:hint="eastAsia" w:ascii="宋体" w:cs="宋体"/>
                <w:sz w:val="20"/>
                <w:highlight w:val="none"/>
                <w:lang w:val="en-US" w:eastAsia="zh-CN"/>
              </w:rPr>
              <w:t>128万元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宋体" w:cs="宋体"/>
                <w:sz w:val="20"/>
                <w:highlight w:val="none"/>
              </w:rPr>
            </w:pPr>
          </w:p>
        </w:tc>
        <w:tc>
          <w:tcPr>
            <w:tcW w:w="3349" w:type="dxa"/>
            <w:gridSpan w:val="2"/>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 xml:space="preserve">         上年结转</w:t>
            </w:r>
          </w:p>
        </w:tc>
        <w:tc>
          <w:tcPr>
            <w:tcW w:w="4228" w:type="dxa"/>
            <w:gridSpan w:val="2"/>
            <w:tcBorders>
              <w:tl2br w:val="nil"/>
              <w:tr2bl w:val="nil"/>
            </w:tcBorders>
            <w:vAlign w:val="center"/>
          </w:tcPr>
          <w:p>
            <w:pPr>
              <w:jc w:val="center"/>
              <w:rPr>
                <w:rFonts w:ascii="宋体" w:cs="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宋体" w:cs="宋体"/>
                <w:sz w:val="20"/>
                <w:highlight w:val="none"/>
              </w:rPr>
            </w:pPr>
          </w:p>
        </w:tc>
        <w:tc>
          <w:tcPr>
            <w:tcW w:w="3349" w:type="dxa"/>
            <w:gridSpan w:val="2"/>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 xml:space="preserve">         其他资金</w:t>
            </w:r>
          </w:p>
        </w:tc>
        <w:tc>
          <w:tcPr>
            <w:tcW w:w="4228" w:type="dxa"/>
            <w:gridSpan w:val="2"/>
            <w:tcBorders>
              <w:tl2br w:val="nil"/>
              <w:tr2bl w:val="nil"/>
            </w:tcBorders>
            <w:vAlign w:val="center"/>
          </w:tcPr>
          <w:p>
            <w:pPr>
              <w:jc w:val="right"/>
              <w:rPr>
                <w:rFonts w:ascii="宋体" w:cs="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年度</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目标</w:t>
            </w:r>
          </w:p>
        </w:tc>
        <w:tc>
          <w:tcPr>
            <w:tcW w:w="8582" w:type="dxa"/>
            <w:gridSpan w:val="6"/>
            <w:tcBorders>
              <w:tl2br w:val="nil"/>
              <w:tr2bl w:val="nil"/>
            </w:tcBorders>
            <w:vAlign w:val="center"/>
          </w:tcPr>
          <w:p>
            <w:pPr>
              <w:jc w:val="left"/>
              <w:rPr>
                <w:rFonts w:ascii="宋体" w:cs="宋体"/>
                <w:sz w:val="20"/>
                <w:highlight w:val="none"/>
              </w:rPr>
            </w:pPr>
            <w:r>
              <w:rPr>
                <w:rFonts w:hint="eastAsia" w:ascii="宋体" w:hAnsi="宋体" w:eastAsia="宋体" w:cs="宋体"/>
                <w:color w:val="000000"/>
                <w:kern w:val="0"/>
                <w:sz w:val="20"/>
                <w:szCs w:val="20"/>
                <w:highlight w:val="none"/>
              </w:rPr>
              <w:t>全市菜市巩固整治和改造提升资金</w:t>
            </w:r>
            <w:r>
              <w:rPr>
                <w:rFonts w:hint="eastAsia" w:ascii="宋体" w:hAnsi="宋体" w:eastAsia="宋体" w:cs="宋体"/>
                <w:color w:val="000000"/>
                <w:kern w:val="0"/>
                <w:sz w:val="20"/>
                <w:szCs w:val="20"/>
                <w:highlight w:val="none"/>
                <w:lang w:val="en-US" w:eastAsia="zh-CN"/>
              </w:rPr>
              <w:t>128</w:t>
            </w:r>
            <w:r>
              <w:rPr>
                <w:rFonts w:hint="eastAsia" w:ascii="宋体" w:hAnsi="宋体" w:eastAsia="宋体" w:cs="宋体"/>
                <w:color w:val="000000"/>
                <w:kern w:val="0"/>
                <w:sz w:val="20"/>
                <w:szCs w:val="20"/>
                <w:highlight w:val="none"/>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绩</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效</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指</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标</w:t>
            </w:r>
          </w:p>
        </w:tc>
        <w:tc>
          <w:tcPr>
            <w:tcW w:w="723" w:type="dxa"/>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一级</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指标</w:t>
            </w:r>
          </w:p>
        </w:tc>
        <w:tc>
          <w:tcPr>
            <w:tcW w:w="759" w:type="dxa"/>
            <w:gridSpan w:val="2"/>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二级指标</w:t>
            </w:r>
          </w:p>
        </w:tc>
        <w:tc>
          <w:tcPr>
            <w:tcW w:w="2872" w:type="dxa"/>
            <w:tcBorders>
              <w:tl2br w:val="nil"/>
              <w:tr2bl w:val="nil"/>
            </w:tcBorders>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三级指标</w:t>
            </w:r>
          </w:p>
        </w:tc>
        <w:tc>
          <w:tcPr>
            <w:tcW w:w="4228" w:type="dxa"/>
            <w:gridSpan w:val="2"/>
            <w:tcBorders>
              <w:tl2br w:val="nil"/>
              <w:tr2bl w:val="nil"/>
            </w:tcBorders>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vMerge w:val="restart"/>
            <w:tcBorders>
              <w:tl2br w:val="nil"/>
              <w:tr2bl w:val="nil"/>
            </w:tcBorders>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产出指标</w:t>
            </w:r>
          </w:p>
        </w:tc>
        <w:tc>
          <w:tcPr>
            <w:tcW w:w="759" w:type="dxa"/>
            <w:gridSpan w:val="2"/>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数量指标</w:t>
            </w:r>
          </w:p>
        </w:tc>
        <w:tc>
          <w:tcPr>
            <w:tcW w:w="2872" w:type="dxa"/>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指标1：文明菜市整治和改造提升</w:t>
            </w:r>
          </w:p>
        </w:tc>
        <w:tc>
          <w:tcPr>
            <w:tcW w:w="4228" w:type="dxa"/>
            <w:gridSpan w:val="2"/>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vMerge w:val="continue"/>
            <w:tcBorders>
              <w:tl2br w:val="nil"/>
              <w:tr2bl w:val="nil"/>
            </w:tcBorders>
            <w:vAlign w:val="center"/>
          </w:tcPr>
          <w:p>
            <w:pPr>
              <w:jc w:val="center"/>
              <w:rPr>
                <w:rFonts w:ascii="宋体" w:cs="宋体"/>
                <w:sz w:val="20"/>
                <w:highlight w:val="none"/>
              </w:rPr>
            </w:pPr>
          </w:p>
        </w:tc>
        <w:tc>
          <w:tcPr>
            <w:tcW w:w="759" w:type="dxa"/>
            <w:gridSpan w:val="2"/>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质量指标</w:t>
            </w:r>
          </w:p>
        </w:tc>
        <w:tc>
          <w:tcPr>
            <w:tcW w:w="2872" w:type="dxa"/>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指标1：完成达标任务、巩固整治和改造提升效果</w:t>
            </w:r>
          </w:p>
        </w:tc>
        <w:tc>
          <w:tcPr>
            <w:tcW w:w="4228"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vMerge w:val="continue"/>
            <w:tcBorders>
              <w:tl2br w:val="nil"/>
              <w:tr2bl w:val="nil"/>
            </w:tcBorders>
            <w:vAlign w:val="center"/>
          </w:tcPr>
          <w:p>
            <w:pPr>
              <w:jc w:val="center"/>
              <w:rPr>
                <w:rFonts w:ascii="宋体" w:cs="宋体"/>
                <w:sz w:val="20"/>
                <w:highlight w:val="none"/>
              </w:rPr>
            </w:pPr>
          </w:p>
        </w:tc>
        <w:tc>
          <w:tcPr>
            <w:tcW w:w="759" w:type="dxa"/>
            <w:gridSpan w:val="2"/>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时效指标</w:t>
            </w:r>
          </w:p>
        </w:tc>
        <w:tc>
          <w:tcPr>
            <w:tcW w:w="2872" w:type="dxa"/>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指标1：项目实施时间</w:t>
            </w:r>
          </w:p>
        </w:tc>
        <w:tc>
          <w:tcPr>
            <w:tcW w:w="4228"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vMerge w:val="continue"/>
            <w:tcBorders>
              <w:tl2br w:val="nil"/>
              <w:tr2bl w:val="nil"/>
            </w:tcBorders>
            <w:vAlign w:val="center"/>
          </w:tcPr>
          <w:p>
            <w:pPr>
              <w:jc w:val="center"/>
              <w:rPr>
                <w:rFonts w:ascii="宋体" w:cs="宋体"/>
                <w:sz w:val="20"/>
                <w:highlight w:val="none"/>
              </w:rPr>
            </w:pPr>
          </w:p>
        </w:tc>
        <w:tc>
          <w:tcPr>
            <w:tcW w:w="759" w:type="dxa"/>
            <w:gridSpan w:val="2"/>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成本指标</w:t>
            </w:r>
          </w:p>
        </w:tc>
        <w:tc>
          <w:tcPr>
            <w:tcW w:w="2872" w:type="dxa"/>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指标1：整治和改造提升资金</w:t>
            </w:r>
          </w:p>
        </w:tc>
        <w:tc>
          <w:tcPr>
            <w:tcW w:w="4228"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vMerge w:val="restart"/>
            <w:tcBorders>
              <w:tl2br w:val="nil"/>
              <w:tr2bl w:val="nil"/>
            </w:tcBorders>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效益指标</w:t>
            </w:r>
          </w:p>
        </w:tc>
        <w:tc>
          <w:tcPr>
            <w:tcW w:w="759" w:type="dxa"/>
            <w:gridSpan w:val="2"/>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经济效益指标</w:t>
            </w:r>
          </w:p>
        </w:tc>
        <w:tc>
          <w:tcPr>
            <w:tcW w:w="2872" w:type="dxa"/>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指标1：菜市场经济有序发展情况</w:t>
            </w:r>
          </w:p>
        </w:tc>
        <w:tc>
          <w:tcPr>
            <w:tcW w:w="4228"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市场租金稳定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vMerge w:val="continue"/>
            <w:tcBorders>
              <w:tl2br w:val="nil"/>
              <w:tr2bl w:val="nil"/>
            </w:tcBorders>
            <w:vAlign w:val="center"/>
          </w:tcPr>
          <w:p>
            <w:pPr>
              <w:jc w:val="center"/>
              <w:rPr>
                <w:rFonts w:ascii="宋体" w:cs="宋体"/>
                <w:sz w:val="20"/>
                <w:highlight w:val="none"/>
              </w:rPr>
            </w:pPr>
          </w:p>
        </w:tc>
        <w:tc>
          <w:tcPr>
            <w:tcW w:w="759" w:type="dxa"/>
            <w:gridSpan w:val="2"/>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社会效益指标</w:t>
            </w:r>
          </w:p>
        </w:tc>
        <w:tc>
          <w:tcPr>
            <w:tcW w:w="2872" w:type="dxa"/>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指标1：提高菜市文明程度</w:t>
            </w:r>
          </w:p>
        </w:tc>
        <w:tc>
          <w:tcPr>
            <w:tcW w:w="4228"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到2025年，全市所有菜市达到“干净卫生、清洁明亮、管理有序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vMerge w:val="continue"/>
            <w:tcBorders>
              <w:tl2br w:val="nil"/>
              <w:tr2bl w:val="nil"/>
            </w:tcBorders>
            <w:vAlign w:val="center"/>
          </w:tcPr>
          <w:p>
            <w:pPr>
              <w:jc w:val="center"/>
              <w:rPr>
                <w:rFonts w:ascii="宋体" w:cs="宋体"/>
                <w:sz w:val="20"/>
                <w:highlight w:val="none"/>
              </w:rPr>
            </w:pPr>
          </w:p>
        </w:tc>
        <w:tc>
          <w:tcPr>
            <w:tcW w:w="759" w:type="dxa"/>
            <w:gridSpan w:val="2"/>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生态效益指标</w:t>
            </w:r>
          </w:p>
        </w:tc>
        <w:tc>
          <w:tcPr>
            <w:tcW w:w="2872" w:type="dxa"/>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指标1：国家生态环保要求</w:t>
            </w:r>
          </w:p>
        </w:tc>
        <w:tc>
          <w:tcPr>
            <w:tcW w:w="4228"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符合国家生态环保要求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vMerge w:val="continue"/>
            <w:tcBorders>
              <w:tl2br w:val="nil"/>
              <w:tr2bl w:val="nil"/>
            </w:tcBorders>
            <w:vAlign w:val="center"/>
          </w:tcPr>
          <w:p>
            <w:pPr>
              <w:jc w:val="center"/>
              <w:rPr>
                <w:rFonts w:ascii="宋体" w:cs="宋体"/>
                <w:sz w:val="20"/>
                <w:highlight w:val="none"/>
              </w:rPr>
            </w:pPr>
          </w:p>
        </w:tc>
        <w:tc>
          <w:tcPr>
            <w:tcW w:w="759" w:type="dxa"/>
            <w:gridSpan w:val="2"/>
            <w:tcBorders>
              <w:tl2br w:val="nil"/>
              <w:tr2bl w:val="nil"/>
            </w:tcBorders>
            <w:vAlign w:val="center"/>
          </w:tcPr>
          <w:p>
            <w:pPr>
              <w:widowControl/>
              <w:spacing w:line="200" w:lineRule="exact"/>
              <w:jc w:val="center"/>
              <w:rPr>
                <w:rFonts w:ascii="宋体" w:hAnsi="宋体" w:eastAsia="宋体" w:cs="宋体"/>
                <w:sz w:val="20"/>
                <w:highlight w:val="none"/>
              </w:rPr>
            </w:pPr>
            <w:r>
              <w:rPr>
                <w:rFonts w:hint="eastAsia" w:ascii="宋体" w:hAnsi="宋体" w:eastAsia="宋体" w:cs="宋体"/>
                <w:sz w:val="20"/>
                <w:highlight w:val="none"/>
              </w:rPr>
              <w:t>可持续影响指标</w:t>
            </w:r>
          </w:p>
        </w:tc>
        <w:tc>
          <w:tcPr>
            <w:tcW w:w="2872" w:type="dxa"/>
            <w:tcBorders>
              <w:tl2br w:val="nil"/>
              <w:tr2bl w:val="nil"/>
            </w:tcBorders>
            <w:vAlign w:val="center"/>
          </w:tcPr>
          <w:p>
            <w:pPr>
              <w:widowControl/>
              <w:jc w:val="left"/>
              <w:textAlignment w:val="center"/>
              <w:rPr>
                <w:rFonts w:ascii="宋体" w:hAnsi="宋体" w:eastAsia="宋体" w:cs="宋体"/>
                <w:sz w:val="20"/>
                <w:highlight w:val="none"/>
              </w:rPr>
            </w:pPr>
            <w:r>
              <w:rPr>
                <w:rFonts w:hint="eastAsia" w:ascii="宋体" w:hAnsi="宋体" w:eastAsia="宋体" w:cs="宋体"/>
                <w:color w:val="000000"/>
                <w:kern w:val="0"/>
                <w:sz w:val="20"/>
                <w:szCs w:val="20"/>
                <w:highlight w:val="none"/>
              </w:rPr>
              <w:t>指标1：思想道德修养水平</w:t>
            </w:r>
          </w:p>
        </w:tc>
        <w:tc>
          <w:tcPr>
            <w:tcW w:w="4228"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提高了市民思想道德修养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tcBorders>
              <w:tl2br w:val="nil"/>
              <w:tr2bl w:val="nil"/>
            </w:tcBorders>
            <w:vAlign w:val="center"/>
          </w:tcPr>
          <w:p>
            <w:pPr>
              <w:widowControl/>
              <w:spacing w:line="200" w:lineRule="exact"/>
              <w:jc w:val="center"/>
              <w:rPr>
                <w:rFonts w:ascii="宋体" w:hAnsi="宋体" w:eastAsia="宋体" w:cs="宋体"/>
                <w:sz w:val="20"/>
                <w:highlight w:val="none"/>
              </w:rPr>
            </w:pPr>
            <w:r>
              <w:rPr>
                <w:rFonts w:hint="eastAsia" w:ascii="宋体" w:hAnsi="宋体" w:eastAsia="宋体" w:cs="宋体"/>
                <w:sz w:val="20"/>
                <w:highlight w:val="none"/>
              </w:rPr>
              <w:t>满意度指标</w:t>
            </w:r>
          </w:p>
        </w:tc>
        <w:tc>
          <w:tcPr>
            <w:tcW w:w="759" w:type="dxa"/>
            <w:gridSpan w:val="2"/>
            <w:tcBorders>
              <w:tl2br w:val="nil"/>
              <w:tr2bl w:val="nil"/>
            </w:tcBorders>
            <w:vAlign w:val="center"/>
          </w:tcPr>
          <w:p>
            <w:pPr>
              <w:widowControl/>
              <w:spacing w:line="200" w:lineRule="exact"/>
              <w:jc w:val="center"/>
              <w:rPr>
                <w:rFonts w:ascii="宋体" w:hAnsi="宋体" w:eastAsia="宋体" w:cs="宋体"/>
                <w:sz w:val="20"/>
                <w:highlight w:val="none"/>
              </w:rPr>
            </w:pPr>
            <w:r>
              <w:rPr>
                <w:rFonts w:hint="eastAsia" w:ascii="宋体" w:hAnsi="宋体" w:eastAsia="宋体" w:cs="宋体"/>
                <w:sz w:val="20"/>
                <w:highlight w:val="none"/>
              </w:rPr>
              <w:t>满意度指标</w:t>
            </w:r>
          </w:p>
        </w:tc>
        <w:tc>
          <w:tcPr>
            <w:tcW w:w="2872" w:type="dxa"/>
            <w:tcBorders>
              <w:tl2br w:val="nil"/>
              <w:tr2bl w:val="nil"/>
            </w:tcBorders>
            <w:vAlign w:val="center"/>
          </w:tcPr>
          <w:p>
            <w:pPr>
              <w:widowControl/>
              <w:jc w:val="left"/>
              <w:textAlignment w:val="center"/>
              <w:rPr>
                <w:rFonts w:ascii="宋体" w:hAnsi="宋体" w:eastAsia="宋体" w:cs="宋体"/>
                <w:sz w:val="20"/>
                <w:highlight w:val="none"/>
              </w:rPr>
            </w:pPr>
            <w:r>
              <w:rPr>
                <w:rFonts w:hint="eastAsia" w:ascii="宋体" w:hAnsi="宋体" w:eastAsia="宋体" w:cs="宋体"/>
                <w:color w:val="000000"/>
                <w:kern w:val="0"/>
                <w:sz w:val="20"/>
                <w:szCs w:val="20"/>
                <w:highlight w:val="none"/>
              </w:rPr>
              <w:t>指标1：市民群众满意度</w:t>
            </w:r>
          </w:p>
        </w:tc>
        <w:tc>
          <w:tcPr>
            <w:tcW w:w="4228" w:type="dxa"/>
            <w:gridSpan w:val="2"/>
            <w:tcBorders>
              <w:tl2br w:val="nil"/>
              <w:tr2bl w:val="nil"/>
            </w:tcBorders>
            <w:vAlign w:val="center"/>
          </w:tcPr>
          <w:p>
            <w:pPr>
              <w:keepNext w:val="0"/>
              <w:keepLines w:val="0"/>
              <w:widowControl/>
              <w:suppressLineNumbers w:val="0"/>
              <w:jc w:val="center"/>
              <w:textAlignment w:val="center"/>
              <w:rPr>
                <w:rFonts w:hint="default" w:ascii="宋体" w:cs="宋体" w:eastAsiaTheme="minorEastAsia"/>
                <w:sz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≥90%</w:t>
            </w:r>
          </w:p>
        </w:tc>
      </w:tr>
    </w:tbl>
    <w:p>
      <w:pPr>
        <w:ind w:firstLine="640" w:firstLineChars="200"/>
        <w:rPr>
          <w:rFonts w:hint="eastAsia" w:ascii="TimesNewRoman" w:hAnsi="TimesNewRoman" w:eastAsia="仿宋_GB2312" w:cs="TimesNewRoman"/>
          <w:kern w:val="0"/>
          <w:sz w:val="32"/>
          <w:szCs w:val="32"/>
          <w:highlight w:val="none"/>
          <w:lang w:val="en-US" w:eastAsia="zh-CN"/>
        </w:rPr>
      </w:pP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lang w:val="en-US" w:eastAsia="zh-CN"/>
        </w:rPr>
        <w:t>4</w:t>
      </w:r>
      <w:r>
        <w:rPr>
          <w:rFonts w:hint="eastAsia" w:ascii="TimesNewRoman" w:hAnsi="TimesNewRoman" w:eastAsia="仿宋_GB2312" w:cs="TimesNewRoman"/>
          <w:kern w:val="0"/>
          <w:sz w:val="32"/>
          <w:szCs w:val="32"/>
          <w:highlight w:val="none"/>
        </w:rPr>
        <w:t>、“</w:t>
      </w:r>
      <w:r>
        <w:rPr>
          <w:rFonts w:hint="eastAsia" w:ascii="仿宋_GB2312" w:hAnsi="Times New Roman" w:eastAsia="仿宋_GB2312" w:cs="Times New Roman"/>
          <w:sz w:val="32"/>
          <w:szCs w:val="32"/>
          <w:highlight w:val="none"/>
          <w:lang w:val="en-US" w:eastAsia="zh-CN"/>
        </w:rPr>
        <w:t>放心家政行动专项经费</w:t>
      </w:r>
      <w:r>
        <w:rPr>
          <w:rFonts w:hint="eastAsia" w:ascii="TimesNewRoman" w:hAnsi="TimesNewRoman" w:eastAsia="仿宋_GB2312" w:cs="TimesNewRoman"/>
          <w:kern w:val="0"/>
          <w:sz w:val="32"/>
          <w:szCs w:val="32"/>
          <w:highlight w:val="none"/>
        </w:rPr>
        <w:t>”项目。</w:t>
      </w: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rPr>
        <w:t>（1）项目概述。根据《中共淮北市委办公室、淮北市人民政府办公室关于印发《就业促进行动方案》等“暖民心行动方案”的通知》（淮办发〔2022〕10号）精神，2025年全市培训家政服务人员2万人次；新增家政人员3300人，员工制家政服务企业县（区）覆盖率超过100%；继续推行“一人一码（牌）”和星级认定工作；遴选5家市级优秀家政服务企业、30名市级优秀家政服务人员。经审查，我市需2025年放心家政行动专项经费80万元。</w:t>
      </w:r>
    </w:p>
    <w:p>
      <w:pPr>
        <w:ind w:firstLine="640" w:firstLineChars="200"/>
        <w:rPr>
          <w:rFonts w:hint="eastAsia" w:ascii="仿宋_GB2312" w:hAnsi="Times New Roman" w:eastAsia="仿宋_GB2312" w:cs="Times New Roman"/>
          <w:sz w:val="32"/>
          <w:szCs w:val="32"/>
          <w:highlight w:val="none"/>
          <w:lang w:val="en-US" w:eastAsia="zh-CN"/>
        </w:rPr>
      </w:pPr>
      <w:r>
        <w:rPr>
          <w:rFonts w:hint="eastAsia" w:ascii="TimesNewRoman" w:hAnsi="TimesNewRoman" w:eastAsia="仿宋_GB2312" w:cs="TimesNewRoman"/>
          <w:kern w:val="0"/>
          <w:sz w:val="32"/>
          <w:szCs w:val="32"/>
          <w:highlight w:val="none"/>
        </w:rPr>
        <w:t>（2）立项依据。</w:t>
      </w:r>
      <w:r>
        <w:rPr>
          <w:rFonts w:hint="default" w:ascii="仿宋_GB2312" w:hAnsi="Times New Roman" w:eastAsia="仿宋_GB2312" w:cs="Times New Roman"/>
          <w:sz w:val="32"/>
          <w:szCs w:val="32"/>
          <w:highlight w:val="none"/>
          <w:lang w:val="en-US" w:eastAsia="zh-CN"/>
        </w:rPr>
        <w:t>根据《中共淮北市委办公室  淮北市人民政府办公室关于印发《就业促进行动方案》等“暖民心行动方案”的通知》</w:t>
      </w:r>
      <w:r>
        <w:rPr>
          <w:rFonts w:hint="eastAsia" w:ascii="仿宋_GB2312" w:hAnsi="Times New Roman" w:eastAsia="仿宋_GB2312" w:cs="Times New Roman"/>
          <w:sz w:val="32"/>
          <w:szCs w:val="32"/>
          <w:highlight w:val="none"/>
          <w:lang w:val="en-US" w:eastAsia="zh-CN"/>
        </w:rPr>
        <w:t>。</w:t>
      </w: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rPr>
        <w:t>（3）实施主体。淮北市商务局</w:t>
      </w: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rPr>
        <w:t>（4）起止时间。202</w:t>
      </w:r>
      <w:r>
        <w:rPr>
          <w:rFonts w:hint="eastAsia" w:ascii="TimesNewRoman" w:hAnsi="TimesNewRoman" w:eastAsia="仿宋_GB2312" w:cs="TimesNewRoman"/>
          <w:kern w:val="0"/>
          <w:sz w:val="32"/>
          <w:szCs w:val="32"/>
          <w:highlight w:val="none"/>
          <w:lang w:val="en-US" w:eastAsia="zh-CN"/>
        </w:rPr>
        <w:t>5</w:t>
      </w:r>
      <w:r>
        <w:rPr>
          <w:rFonts w:hint="eastAsia" w:ascii="TimesNewRoman" w:hAnsi="TimesNewRoman" w:eastAsia="仿宋_GB2312" w:cs="TimesNewRoman"/>
          <w:kern w:val="0"/>
          <w:sz w:val="32"/>
          <w:szCs w:val="32"/>
          <w:highlight w:val="none"/>
        </w:rPr>
        <w:t>年1-12月</w:t>
      </w:r>
    </w:p>
    <w:p>
      <w:pPr>
        <w:ind w:firstLine="640" w:firstLineChars="200"/>
        <w:rPr>
          <w:rFonts w:hint="eastAsia"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rPr>
        <w:t>（5）项目内容。根据《中共淮北市委办公室、淮北市人民政府办公室关于印发《就业促进行动方案》等“暖民心行动方案”的通知》（淮办发〔2022〕10号）精神，2025年全市培训家政服务人员2万人次；新增家政人员3300人，员工制家政服务企业县（区）覆盖率超过100%；继续推行“一人一码（牌）”和星级认定工作；遴选5家市级优秀家政服务企业、30名市级优秀家政服务人员。经审查，我市需2025年放心家政行动专项经费80万元。</w:t>
      </w: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rPr>
        <w:t>（6）年度预算安排。202</w:t>
      </w:r>
      <w:r>
        <w:rPr>
          <w:rFonts w:hint="eastAsia" w:ascii="TimesNewRoman" w:hAnsi="TimesNewRoman" w:eastAsia="仿宋_GB2312" w:cs="TimesNewRoman"/>
          <w:kern w:val="0"/>
          <w:sz w:val="32"/>
          <w:szCs w:val="32"/>
          <w:highlight w:val="none"/>
          <w:lang w:val="en-US" w:eastAsia="zh-CN"/>
        </w:rPr>
        <w:t>5</w:t>
      </w:r>
      <w:r>
        <w:rPr>
          <w:rFonts w:hint="eastAsia" w:ascii="TimesNewRoman" w:hAnsi="TimesNewRoman" w:eastAsia="仿宋_GB2312" w:cs="TimesNewRoman"/>
          <w:kern w:val="0"/>
          <w:sz w:val="32"/>
          <w:szCs w:val="32"/>
          <w:highlight w:val="none"/>
        </w:rPr>
        <w:t>年安排预算资金</w:t>
      </w:r>
      <w:r>
        <w:rPr>
          <w:rFonts w:hint="eastAsia" w:ascii="TimesNewRoman" w:hAnsi="TimesNewRoman" w:eastAsia="仿宋_GB2312" w:cs="TimesNewRoman"/>
          <w:kern w:val="0"/>
          <w:sz w:val="32"/>
          <w:szCs w:val="32"/>
          <w:highlight w:val="none"/>
          <w:lang w:val="en-US" w:eastAsia="zh-CN"/>
        </w:rPr>
        <w:t>80</w:t>
      </w:r>
      <w:r>
        <w:rPr>
          <w:rFonts w:hint="eastAsia" w:ascii="TimesNewRoman" w:hAnsi="TimesNewRoman" w:eastAsia="仿宋_GB2312" w:cs="TimesNewRoman"/>
          <w:kern w:val="0"/>
          <w:sz w:val="32"/>
          <w:szCs w:val="32"/>
          <w:highlight w:val="none"/>
        </w:rPr>
        <w:t>万元</w:t>
      </w: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rPr>
        <w:t>（7）绩效目标。根据《中共淮北市委办公室、淮北市人民政府办公室关于印发《就业促进行动方案》等“暖民心行动方案”的通知》（淮办发〔2022〕10号）精神202</w:t>
      </w:r>
      <w:r>
        <w:rPr>
          <w:rFonts w:hint="eastAsia" w:ascii="TimesNewRoman" w:hAnsi="TimesNewRoman" w:eastAsia="仿宋_GB2312" w:cs="TimesNewRoman"/>
          <w:kern w:val="0"/>
          <w:sz w:val="32"/>
          <w:szCs w:val="32"/>
          <w:highlight w:val="none"/>
          <w:lang w:val="en-US" w:eastAsia="zh-CN"/>
        </w:rPr>
        <w:t>5</w:t>
      </w:r>
      <w:r>
        <w:rPr>
          <w:rFonts w:hint="eastAsia" w:ascii="TimesNewRoman" w:hAnsi="TimesNewRoman" w:eastAsia="仿宋_GB2312" w:cs="TimesNewRoman"/>
          <w:kern w:val="0"/>
          <w:sz w:val="32"/>
          <w:szCs w:val="32"/>
          <w:highlight w:val="none"/>
        </w:rPr>
        <w:t>年，全市培训家政服务人员7000人次；新增家政人员2000人，员工制家政服务企业县（区）覆盖率超过100％；继续推行“一人一码（牌）”和星级认定工作；遴选5家市级优秀家政服务企业、30名市级优秀家政服务人员。</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pPr>
              <w:widowControl/>
              <w:jc w:val="center"/>
              <w:textAlignment w:val="center"/>
              <w:rPr>
                <w:rFonts w:ascii="宋体" w:cs="宋体"/>
                <w:b/>
                <w:bCs/>
                <w:szCs w:val="32"/>
                <w:highlight w:val="none"/>
              </w:rPr>
            </w:pPr>
            <w:r>
              <w:rPr>
                <w:rFonts w:hint="eastAsia" w:ascii="宋体" w:hAnsi="宋体" w:eastAsia="宋体" w:cs="宋体"/>
                <w:b/>
                <w:color w:val="000000"/>
                <w:kern w:val="0"/>
                <w:sz w:val="28"/>
                <w:szCs w:val="28"/>
                <w:highlight w:val="none"/>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 xml:space="preserve"> （202</w:t>
            </w:r>
            <w:r>
              <w:rPr>
                <w:rFonts w:hint="eastAsia" w:ascii="宋体" w:hAnsi="宋体" w:eastAsia="宋体" w:cs="宋体"/>
                <w:color w:val="000000"/>
                <w:kern w:val="0"/>
                <w:sz w:val="20"/>
                <w:szCs w:val="20"/>
                <w:highlight w:val="none"/>
                <w:lang w:val="en-US" w:eastAsia="zh-CN"/>
              </w:rPr>
              <w:t>5</w:t>
            </w:r>
            <w:r>
              <w:rPr>
                <w:rFonts w:hint="eastAsia" w:ascii="宋体" w:hAnsi="宋体" w:eastAsia="宋体" w:cs="宋体"/>
                <w:color w:val="000000"/>
                <w:kern w:val="0"/>
                <w:sz w:val="20"/>
                <w:szCs w:val="20"/>
                <w:highlight w:val="none"/>
              </w:rPr>
              <w:t xml:space="preserve">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项目名称</w:t>
            </w:r>
          </w:p>
        </w:tc>
        <w:tc>
          <w:tcPr>
            <w:tcW w:w="7577" w:type="dxa"/>
            <w:gridSpan w:val="4"/>
            <w:tcBorders>
              <w:tl2br w:val="nil"/>
              <w:tr2bl w:val="nil"/>
            </w:tcBorders>
            <w:vAlign w:val="center"/>
          </w:tcPr>
          <w:p>
            <w:pPr>
              <w:jc w:val="center"/>
              <w:rPr>
                <w:rFonts w:ascii="宋体" w:cs="宋体"/>
                <w:sz w:val="20"/>
                <w:highlight w:val="none"/>
              </w:rPr>
            </w:pPr>
            <w:r>
              <w:rPr>
                <w:rFonts w:hint="eastAsia" w:ascii="宋体" w:hAnsi="宋体" w:eastAsia="宋体" w:cs="宋体"/>
                <w:color w:val="000000"/>
                <w:kern w:val="0"/>
                <w:sz w:val="20"/>
                <w:szCs w:val="20"/>
                <w:highlight w:val="none"/>
                <w:lang w:val="en-US" w:eastAsia="zh-CN"/>
              </w:rPr>
              <w:t>放心家政行动专项经费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主管部门   及代码</w:t>
            </w:r>
          </w:p>
        </w:tc>
        <w:tc>
          <w:tcPr>
            <w:tcW w:w="3349" w:type="dxa"/>
            <w:gridSpan w:val="2"/>
            <w:tcBorders>
              <w:tl2br w:val="nil"/>
              <w:tr2bl w:val="nil"/>
            </w:tcBorders>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iCs w:val="0"/>
                <w:color w:val="000000"/>
                <w:kern w:val="0"/>
                <w:sz w:val="20"/>
                <w:szCs w:val="20"/>
                <w:highlight w:val="none"/>
                <w:u w:val="none"/>
                <w:lang w:val="en-US" w:eastAsia="zh-CN" w:bidi="ar"/>
              </w:rPr>
              <w:t>[288]淮北市商务局</w:t>
            </w:r>
          </w:p>
        </w:tc>
        <w:tc>
          <w:tcPr>
            <w:tcW w:w="1848" w:type="dxa"/>
            <w:tcBorders>
              <w:tl2br w:val="nil"/>
              <w:tr2bl w:val="nil"/>
            </w:tcBorders>
            <w:vAlign w:val="center"/>
          </w:tcPr>
          <w:p>
            <w:pPr>
              <w:widowControl/>
              <w:jc w:val="center"/>
              <w:textAlignment w:val="center"/>
              <w:rPr>
                <w:highlight w:val="none"/>
              </w:rPr>
            </w:pPr>
            <w:r>
              <w:rPr>
                <w:rFonts w:hint="eastAsia" w:ascii="宋体" w:hAnsi="宋体" w:eastAsia="宋体" w:cs="宋体"/>
                <w:color w:val="000000"/>
                <w:kern w:val="0"/>
                <w:sz w:val="20"/>
                <w:szCs w:val="20"/>
                <w:highlight w:val="none"/>
              </w:rPr>
              <w:t>实施单位</w:t>
            </w:r>
          </w:p>
        </w:tc>
        <w:tc>
          <w:tcPr>
            <w:tcW w:w="2380" w:type="dxa"/>
            <w:tcBorders>
              <w:tl2br w:val="nil"/>
              <w:tr2bl w:val="nil"/>
            </w:tcBorders>
            <w:vAlign w:val="center"/>
          </w:tcPr>
          <w:p>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1"/>
                <w:szCs w:val="21"/>
                <w:highlight w:val="none"/>
                <w:u w:val="none"/>
                <w:lang w:val="en-US" w:eastAsia="zh-CN" w:bidi="ar"/>
              </w:rPr>
              <w:t>淮北市商务局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项目来源</w:t>
            </w:r>
          </w:p>
        </w:tc>
        <w:tc>
          <w:tcPr>
            <w:tcW w:w="3349" w:type="dxa"/>
            <w:gridSpan w:val="2"/>
            <w:tcBorders>
              <w:tl2br w:val="nil"/>
              <w:tr2bl w:val="nil"/>
            </w:tcBorders>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iCs w:val="0"/>
                <w:color w:val="000000"/>
                <w:kern w:val="0"/>
                <w:sz w:val="20"/>
                <w:szCs w:val="20"/>
                <w:highlight w:val="none"/>
                <w:u w:val="none"/>
                <w:lang w:val="en-US" w:eastAsia="zh-CN" w:bidi="ar"/>
              </w:rPr>
              <w:t>本级申报项目</w:t>
            </w:r>
          </w:p>
        </w:tc>
        <w:tc>
          <w:tcPr>
            <w:tcW w:w="1848" w:type="dxa"/>
            <w:tcBorders>
              <w:tl2br w:val="nil"/>
              <w:tr2bl w:val="nil"/>
            </w:tcBorders>
            <w:vAlign w:val="center"/>
          </w:tcPr>
          <w:p>
            <w:pPr>
              <w:widowControl/>
              <w:jc w:val="center"/>
              <w:textAlignment w:val="center"/>
              <w:rPr>
                <w:highlight w:val="none"/>
              </w:rPr>
            </w:pPr>
            <w:r>
              <w:rPr>
                <w:rFonts w:hint="eastAsia" w:ascii="宋体" w:hAnsi="宋体" w:eastAsia="宋体" w:cs="宋体"/>
                <w:color w:val="000000"/>
                <w:kern w:val="0"/>
                <w:sz w:val="20"/>
                <w:szCs w:val="20"/>
                <w:highlight w:val="none"/>
              </w:rPr>
              <w:t>项目期</w:t>
            </w:r>
          </w:p>
        </w:tc>
        <w:tc>
          <w:tcPr>
            <w:tcW w:w="2380" w:type="dxa"/>
            <w:tcBorders>
              <w:tl2br w:val="nil"/>
              <w:tr2bl w:val="nil"/>
            </w:tcBorders>
            <w:vAlign w:val="center"/>
          </w:tcPr>
          <w:p>
            <w:pPr>
              <w:keepNext w:val="0"/>
              <w:keepLines w:val="0"/>
              <w:widowControl/>
              <w:suppressLineNumbers w:val="0"/>
              <w:jc w:val="center"/>
              <w:textAlignment w:val="center"/>
              <w:rPr>
                <w:highlight w:val="none"/>
              </w:rPr>
            </w:pPr>
            <w:r>
              <w:rPr>
                <w:rStyle w:val="12"/>
                <w:rFonts w:eastAsia="宋体"/>
                <w:highlight w:val="none"/>
                <w:lang w:val="en-US" w:eastAsia="zh-CN" w:bidi="ar"/>
              </w:rPr>
              <w:t xml:space="preserve"> 1</w:t>
            </w:r>
            <w:r>
              <w:rPr>
                <w:rStyle w:val="13"/>
                <w:highlight w:val="none"/>
                <w:lang w:val="en-US" w:eastAsia="zh-CN"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项目资金</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（万元）</w:t>
            </w:r>
          </w:p>
        </w:tc>
        <w:tc>
          <w:tcPr>
            <w:tcW w:w="3349" w:type="dxa"/>
            <w:gridSpan w:val="2"/>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 xml:space="preserve"> 年度资金总额：</w:t>
            </w:r>
          </w:p>
        </w:tc>
        <w:tc>
          <w:tcPr>
            <w:tcW w:w="4228" w:type="dxa"/>
            <w:gridSpan w:val="2"/>
            <w:tcBorders>
              <w:tl2br w:val="nil"/>
              <w:tr2bl w:val="nil"/>
            </w:tcBorders>
            <w:vAlign w:val="center"/>
          </w:tcPr>
          <w:p>
            <w:pPr>
              <w:jc w:val="right"/>
              <w:rPr>
                <w:rFonts w:hint="default" w:ascii="宋体" w:cs="宋体" w:eastAsiaTheme="minorEastAsia"/>
                <w:sz w:val="20"/>
                <w:highlight w:val="none"/>
                <w:lang w:val="en-US" w:eastAsia="zh-CN"/>
              </w:rPr>
            </w:pPr>
            <w:r>
              <w:rPr>
                <w:rFonts w:hint="eastAsia" w:ascii="宋体" w:cs="宋体"/>
                <w:sz w:val="20"/>
                <w:highlight w:val="none"/>
                <w:lang w:val="en-US" w:eastAsia="zh-CN"/>
              </w:rPr>
              <w:t>80万元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宋体" w:cs="宋体"/>
                <w:sz w:val="20"/>
                <w:highlight w:val="none"/>
              </w:rPr>
            </w:pPr>
          </w:p>
        </w:tc>
        <w:tc>
          <w:tcPr>
            <w:tcW w:w="3349" w:type="dxa"/>
            <w:gridSpan w:val="2"/>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 xml:space="preserve">   其中：财政拨款</w:t>
            </w:r>
          </w:p>
        </w:tc>
        <w:tc>
          <w:tcPr>
            <w:tcW w:w="4228" w:type="dxa"/>
            <w:gridSpan w:val="2"/>
            <w:tcBorders>
              <w:tl2br w:val="nil"/>
              <w:tr2bl w:val="nil"/>
            </w:tcBorders>
            <w:vAlign w:val="center"/>
          </w:tcPr>
          <w:p>
            <w:pPr>
              <w:jc w:val="right"/>
              <w:rPr>
                <w:rFonts w:hint="default" w:ascii="宋体" w:cs="宋体" w:eastAsiaTheme="minorEastAsia"/>
                <w:sz w:val="20"/>
                <w:highlight w:val="none"/>
                <w:lang w:val="en-US" w:eastAsia="zh-CN"/>
              </w:rPr>
            </w:pPr>
            <w:r>
              <w:rPr>
                <w:rFonts w:hint="eastAsia" w:ascii="宋体" w:cs="宋体"/>
                <w:sz w:val="20"/>
                <w:highlight w:val="none"/>
                <w:lang w:val="en-US" w:eastAsia="zh-CN"/>
              </w:rPr>
              <w:t>80万元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宋体" w:cs="宋体"/>
                <w:sz w:val="20"/>
                <w:highlight w:val="none"/>
              </w:rPr>
            </w:pPr>
          </w:p>
        </w:tc>
        <w:tc>
          <w:tcPr>
            <w:tcW w:w="3349" w:type="dxa"/>
            <w:gridSpan w:val="2"/>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 xml:space="preserve">         上年结转</w:t>
            </w:r>
          </w:p>
        </w:tc>
        <w:tc>
          <w:tcPr>
            <w:tcW w:w="4228" w:type="dxa"/>
            <w:gridSpan w:val="2"/>
            <w:tcBorders>
              <w:tl2br w:val="nil"/>
              <w:tr2bl w:val="nil"/>
            </w:tcBorders>
            <w:vAlign w:val="center"/>
          </w:tcPr>
          <w:p>
            <w:pPr>
              <w:jc w:val="center"/>
              <w:rPr>
                <w:rFonts w:ascii="宋体" w:cs="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宋体" w:cs="宋体"/>
                <w:sz w:val="20"/>
                <w:highlight w:val="none"/>
              </w:rPr>
            </w:pPr>
          </w:p>
        </w:tc>
        <w:tc>
          <w:tcPr>
            <w:tcW w:w="3349" w:type="dxa"/>
            <w:gridSpan w:val="2"/>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 xml:space="preserve">         其他资金</w:t>
            </w:r>
          </w:p>
        </w:tc>
        <w:tc>
          <w:tcPr>
            <w:tcW w:w="4228" w:type="dxa"/>
            <w:gridSpan w:val="2"/>
            <w:tcBorders>
              <w:tl2br w:val="nil"/>
              <w:tr2bl w:val="nil"/>
            </w:tcBorders>
            <w:vAlign w:val="center"/>
          </w:tcPr>
          <w:p>
            <w:pPr>
              <w:jc w:val="right"/>
              <w:rPr>
                <w:rFonts w:ascii="宋体" w:cs="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年度</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目标</w:t>
            </w:r>
          </w:p>
        </w:tc>
        <w:tc>
          <w:tcPr>
            <w:tcW w:w="8582" w:type="dxa"/>
            <w:gridSpan w:val="6"/>
            <w:tcBorders>
              <w:tl2br w:val="nil"/>
              <w:tr2bl w:val="nil"/>
            </w:tcBorders>
            <w:vAlign w:val="center"/>
          </w:tcPr>
          <w:p>
            <w:pPr>
              <w:jc w:val="left"/>
              <w:rPr>
                <w:rFonts w:ascii="宋体" w:cs="宋体"/>
                <w:sz w:val="20"/>
                <w:highlight w:val="none"/>
              </w:rPr>
            </w:pPr>
            <w:r>
              <w:rPr>
                <w:rFonts w:hint="eastAsia" w:ascii="宋体" w:hAnsi="宋体" w:eastAsia="宋体" w:cs="宋体"/>
                <w:color w:val="000000"/>
                <w:kern w:val="0"/>
                <w:sz w:val="20"/>
                <w:szCs w:val="20"/>
                <w:highlight w:val="none"/>
              </w:rPr>
              <w:t>根据《中共淮北市委办公室、淮北市人民政府办公室关于印发《就业促进行动方案》等“暖民心行动方案”的通知》（淮办发〔2022〕10号）精神202</w:t>
            </w:r>
            <w:r>
              <w:rPr>
                <w:rFonts w:hint="eastAsia" w:ascii="宋体" w:hAnsi="宋体" w:eastAsia="宋体" w:cs="宋体"/>
                <w:color w:val="000000"/>
                <w:kern w:val="0"/>
                <w:sz w:val="20"/>
                <w:szCs w:val="20"/>
                <w:highlight w:val="none"/>
                <w:lang w:val="en-US" w:eastAsia="zh-CN"/>
              </w:rPr>
              <w:t>5</w:t>
            </w:r>
            <w:r>
              <w:rPr>
                <w:rFonts w:hint="eastAsia" w:ascii="宋体" w:hAnsi="宋体" w:eastAsia="宋体" w:cs="宋体"/>
                <w:color w:val="000000"/>
                <w:kern w:val="0"/>
                <w:sz w:val="20"/>
                <w:szCs w:val="20"/>
                <w:highlight w:val="none"/>
              </w:rPr>
              <w:t>年，全市培训家政服务人员7000人次；新增家政人员2000人，员工制家政服务企业县（区）覆盖率超过100％；继续推行“一人一码（牌）”和星级认定工作；遴选5家市级优秀家政服务企业、30名市级优秀家政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绩</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效</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指</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标</w:t>
            </w:r>
          </w:p>
        </w:tc>
        <w:tc>
          <w:tcPr>
            <w:tcW w:w="723" w:type="dxa"/>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一级</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指标</w:t>
            </w:r>
          </w:p>
        </w:tc>
        <w:tc>
          <w:tcPr>
            <w:tcW w:w="759" w:type="dxa"/>
            <w:gridSpan w:val="2"/>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二级指标</w:t>
            </w:r>
          </w:p>
        </w:tc>
        <w:tc>
          <w:tcPr>
            <w:tcW w:w="2872" w:type="dxa"/>
            <w:tcBorders>
              <w:tl2br w:val="nil"/>
              <w:tr2bl w:val="nil"/>
            </w:tcBorders>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三级指标</w:t>
            </w:r>
          </w:p>
        </w:tc>
        <w:tc>
          <w:tcPr>
            <w:tcW w:w="4228" w:type="dxa"/>
            <w:gridSpan w:val="2"/>
            <w:tcBorders>
              <w:tl2br w:val="nil"/>
              <w:tr2bl w:val="nil"/>
            </w:tcBorders>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vMerge w:val="restart"/>
            <w:tcBorders>
              <w:tl2br w:val="nil"/>
              <w:tr2bl w:val="nil"/>
            </w:tcBorders>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产出指标</w:t>
            </w:r>
          </w:p>
        </w:tc>
        <w:tc>
          <w:tcPr>
            <w:tcW w:w="759" w:type="dxa"/>
            <w:gridSpan w:val="2"/>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数量指标</w:t>
            </w:r>
          </w:p>
        </w:tc>
        <w:tc>
          <w:tcPr>
            <w:tcW w:w="2872" w:type="dxa"/>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指标1：评选优秀家政企业</w:t>
            </w:r>
          </w:p>
        </w:tc>
        <w:tc>
          <w:tcPr>
            <w:tcW w:w="4228" w:type="dxa"/>
            <w:gridSpan w:val="2"/>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highlight w:val="none"/>
                <w:lang w:val="en-US"/>
              </w:rPr>
            </w:pPr>
            <w:r>
              <w:rPr>
                <w:rFonts w:hint="eastAsia" w:ascii="宋体" w:hAnsi="宋体" w:eastAsia="宋体" w:cs="宋体"/>
                <w:i w:val="0"/>
                <w:iCs w:val="0"/>
                <w:color w:val="000000"/>
                <w:kern w:val="0"/>
                <w:sz w:val="20"/>
                <w:szCs w:val="20"/>
                <w:highlight w:val="none"/>
                <w:u w:val="none"/>
                <w:lang w:val="en-US" w:eastAsia="zh-CN" w:bidi="ar"/>
              </w:rPr>
              <w:t>5家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vMerge w:val="continue"/>
            <w:tcBorders>
              <w:tl2br w:val="nil"/>
              <w:tr2bl w:val="nil"/>
            </w:tcBorders>
            <w:vAlign w:val="center"/>
          </w:tcPr>
          <w:p>
            <w:pPr>
              <w:jc w:val="center"/>
              <w:rPr>
                <w:rFonts w:ascii="宋体" w:cs="宋体"/>
                <w:sz w:val="20"/>
                <w:highlight w:val="none"/>
              </w:rPr>
            </w:pPr>
          </w:p>
        </w:tc>
        <w:tc>
          <w:tcPr>
            <w:tcW w:w="759" w:type="dxa"/>
            <w:gridSpan w:val="2"/>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质量指标</w:t>
            </w:r>
          </w:p>
        </w:tc>
        <w:tc>
          <w:tcPr>
            <w:tcW w:w="2872" w:type="dxa"/>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指标1：线上家政服务平台运行良好，线下家政服务“五进”工作积极推进，评选优秀家政企业和家政服务人员</w:t>
            </w:r>
          </w:p>
        </w:tc>
        <w:tc>
          <w:tcPr>
            <w:tcW w:w="4228"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线上家政服务区平台稳步推进，线下家政“五进”工作取得明显成效，持续推进一人一码工作制度，培育家政服务品牌，选树先进典型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vMerge w:val="continue"/>
            <w:tcBorders>
              <w:tl2br w:val="nil"/>
              <w:tr2bl w:val="nil"/>
            </w:tcBorders>
            <w:vAlign w:val="center"/>
          </w:tcPr>
          <w:p>
            <w:pPr>
              <w:jc w:val="center"/>
              <w:rPr>
                <w:rFonts w:ascii="宋体" w:cs="宋体"/>
                <w:sz w:val="20"/>
                <w:highlight w:val="none"/>
              </w:rPr>
            </w:pPr>
          </w:p>
        </w:tc>
        <w:tc>
          <w:tcPr>
            <w:tcW w:w="759" w:type="dxa"/>
            <w:gridSpan w:val="2"/>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时效指标</w:t>
            </w:r>
          </w:p>
        </w:tc>
        <w:tc>
          <w:tcPr>
            <w:tcW w:w="2872" w:type="dxa"/>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指标1：资金拨付及时性</w:t>
            </w:r>
          </w:p>
        </w:tc>
        <w:tc>
          <w:tcPr>
            <w:tcW w:w="4228"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vMerge w:val="continue"/>
            <w:tcBorders>
              <w:tl2br w:val="nil"/>
              <w:tr2bl w:val="nil"/>
            </w:tcBorders>
            <w:vAlign w:val="center"/>
          </w:tcPr>
          <w:p>
            <w:pPr>
              <w:jc w:val="center"/>
              <w:rPr>
                <w:rFonts w:ascii="宋体" w:cs="宋体"/>
                <w:sz w:val="20"/>
                <w:highlight w:val="none"/>
              </w:rPr>
            </w:pPr>
          </w:p>
        </w:tc>
        <w:tc>
          <w:tcPr>
            <w:tcW w:w="759" w:type="dxa"/>
            <w:gridSpan w:val="2"/>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成本指标</w:t>
            </w:r>
          </w:p>
        </w:tc>
        <w:tc>
          <w:tcPr>
            <w:tcW w:w="2872" w:type="dxa"/>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指标1：开展各项放心家政活动费用</w:t>
            </w:r>
          </w:p>
        </w:tc>
        <w:tc>
          <w:tcPr>
            <w:tcW w:w="4228"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80万元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vMerge w:val="restart"/>
            <w:tcBorders>
              <w:tl2br w:val="nil"/>
              <w:tr2bl w:val="nil"/>
            </w:tcBorders>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效益指标</w:t>
            </w:r>
          </w:p>
        </w:tc>
        <w:tc>
          <w:tcPr>
            <w:tcW w:w="759" w:type="dxa"/>
            <w:gridSpan w:val="2"/>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经济效益指标</w:t>
            </w:r>
          </w:p>
        </w:tc>
        <w:tc>
          <w:tcPr>
            <w:tcW w:w="2872" w:type="dxa"/>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指标1：推进全市服务业发展情况</w:t>
            </w:r>
          </w:p>
        </w:tc>
        <w:tc>
          <w:tcPr>
            <w:tcW w:w="4228"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扶持家政企业做大做强，实现全市现代服务业高质量发展.支持数字家政产业园扩大规模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vMerge w:val="continue"/>
            <w:tcBorders>
              <w:tl2br w:val="nil"/>
              <w:tr2bl w:val="nil"/>
            </w:tcBorders>
            <w:vAlign w:val="center"/>
          </w:tcPr>
          <w:p>
            <w:pPr>
              <w:jc w:val="center"/>
              <w:rPr>
                <w:rFonts w:ascii="宋体" w:cs="宋体"/>
                <w:sz w:val="20"/>
                <w:highlight w:val="none"/>
              </w:rPr>
            </w:pPr>
          </w:p>
        </w:tc>
        <w:tc>
          <w:tcPr>
            <w:tcW w:w="759" w:type="dxa"/>
            <w:gridSpan w:val="2"/>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社会效益指标</w:t>
            </w:r>
          </w:p>
        </w:tc>
        <w:tc>
          <w:tcPr>
            <w:tcW w:w="2872" w:type="dxa"/>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指标1：解决老百姓急难愁盼、牵肠挂肚的民生大事、天天有感的关键小事</w:t>
            </w:r>
          </w:p>
        </w:tc>
        <w:tc>
          <w:tcPr>
            <w:tcW w:w="4228"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推进家政服务行业标准化、制度化、规范化、品质化发展，满足人民日益增长的对家政服务的需要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vMerge w:val="continue"/>
            <w:tcBorders>
              <w:tl2br w:val="nil"/>
              <w:tr2bl w:val="nil"/>
            </w:tcBorders>
            <w:vAlign w:val="center"/>
          </w:tcPr>
          <w:p>
            <w:pPr>
              <w:jc w:val="center"/>
              <w:rPr>
                <w:rFonts w:ascii="宋体" w:cs="宋体"/>
                <w:sz w:val="20"/>
                <w:highlight w:val="none"/>
              </w:rPr>
            </w:pPr>
          </w:p>
        </w:tc>
        <w:tc>
          <w:tcPr>
            <w:tcW w:w="759" w:type="dxa"/>
            <w:gridSpan w:val="2"/>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生态效益指标</w:t>
            </w:r>
          </w:p>
        </w:tc>
        <w:tc>
          <w:tcPr>
            <w:tcW w:w="2872" w:type="dxa"/>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指标1：国家生态环保要求</w:t>
            </w:r>
          </w:p>
        </w:tc>
        <w:tc>
          <w:tcPr>
            <w:tcW w:w="4228"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符合国家生态环保要求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vMerge w:val="continue"/>
            <w:tcBorders>
              <w:tl2br w:val="nil"/>
              <w:tr2bl w:val="nil"/>
            </w:tcBorders>
            <w:vAlign w:val="center"/>
          </w:tcPr>
          <w:p>
            <w:pPr>
              <w:jc w:val="center"/>
              <w:rPr>
                <w:rFonts w:ascii="宋体" w:cs="宋体"/>
                <w:sz w:val="20"/>
                <w:highlight w:val="none"/>
              </w:rPr>
            </w:pPr>
          </w:p>
        </w:tc>
        <w:tc>
          <w:tcPr>
            <w:tcW w:w="759" w:type="dxa"/>
            <w:gridSpan w:val="2"/>
            <w:tcBorders>
              <w:tl2br w:val="nil"/>
              <w:tr2bl w:val="nil"/>
            </w:tcBorders>
            <w:vAlign w:val="center"/>
          </w:tcPr>
          <w:p>
            <w:pPr>
              <w:widowControl/>
              <w:spacing w:line="200" w:lineRule="exact"/>
              <w:jc w:val="center"/>
              <w:rPr>
                <w:rFonts w:ascii="宋体" w:hAnsi="宋体" w:eastAsia="宋体" w:cs="宋体"/>
                <w:sz w:val="20"/>
                <w:highlight w:val="none"/>
              </w:rPr>
            </w:pPr>
            <w:r>
              <w:rPr>
                <w:rFonts w:hint="eastAsia" w:ascii="宋体" w:hAnsi="宋体" w:eastAsia="宋体" w:cs="宋体"/>
                <w:sz w:val="20"/>
                <w:highlight w:val="none"/>
              </w:rPr>
              <w:t>可持续影响指标</w:t>
            </w:r>
          </w:p>
        </w:tc>
        <w:tc>
          <w:tcPr>
            <w:tcW w:w="2872" w:type="dxa"/>
            <w:tcBorders>
              <w:tl2br w:val="nil"/>
              <w:tr2bl w:val="nil"/>
            </w:tcBorders>
            <w:vAlign w:val="center"/>
          </w:tcPr>
          <w:p>
            <w:pPr>
              <w:widowControl/>
              <w:jc w:val="left"/>
              <w:textAlignment w:val="center"/>
              <w:rPr>
                <w:rFonts w:ascii="宋体" w:hAnsi="宋体" w:eastAsia="宋体" w:cs="宋体"/>
                <w:sz w:val="20"/>
                <w:highlight w:val="none"/>
              </w:rPr>
            </w:pPr>
            <w:r>
              <w:rPr>
                <w:rFonts w:hint="eastAsia" w:ascii="宋体" w:hAnsi="宋体" w:eastAsia="宋体" w:cs="宋体"/>
                <w:color w:val="000000"/>
                <w:kern w:val="0"/>
                <w:sz w:val="20"/>
                <w:szCs w:val="20"/>
                <w:highlight w:val="none"/>
              </w:rPr>
              <w:t>指标1：规范全市家政服务市场，推进全市家政行业发展</w:t>
            </w:r>
          </w:p>
        </w:tc>
        <w:tc>
          <w:tcPr>
            <w:tcW w:w="4228"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通过培训，进一步提高家政服务人员政治素养和服务技能，推进市政服务市场规范化发展，提升全市家政服务行业高质量健康发展。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tcBorders>
              <w:tl2br w:val="nil"/>
              <w:tr2bl w:val="nil"/>
            </w:tcBorders>
            <w:vAlign w:val="center"/>
          </w:tcPr>
          <w:p>
            <w:pPr>
              <w:widowControl/>
              <w:spacing w:line="200" w:lineRule="exact"/>
              <w:jc w:val="center"/>
              <w:rPr>
                <w:rFonts w:ascii="宋体" w:hAnsi="宋体" w:eastAsia="宋体" w:cs="宋体"/>
                <w:sz w:val="20"/>
                <w:highlight w:val="none"/>
              </w:rPr>
            </w:pPr>
            <w:r>
              <w:rPr>
                <w:rFonts w:hint="eastAsia" w:ascii="宋体" w:hAnsi="宋体" w:eastAsia="宋体" w:cs="宋体"/>
                <w:sz w:val="20"/>
                <w:highlight w:val="none"/>
              </w:rPr>
              <w:t>满意度指标</w:t>
            </w:r>
          </w:p>
        </w:tc>
        <w:tc>
          <w:tcPr>
            <w:tcW w:w="759" w:type="dxa"/>
            <w:gridSpan w:val="2"/>
            <w:tcBorders>
              <w:tl2br w:val="nil"/>
              <w:tr2bl w:val="nil"/>
            </w:tcBorders>
            <w:vAlign w:val="center"/>
          </w:tcPr>
          <w:p>
            <w:pPr>
              <w:widowControl/>
              <w:spacing w:line="200" w:lineRule="exact"/>
              <w:jc w:val="center"/>
              <w:rPr>
                <w:rFonts w:ascii="宋体" w:hAnsi="宋体" w:eastAsia="宋体" w:cs="宋体"/>
                <w:sz w:val="20"/>
                <w:highlight w:val="none"/>
              </w:rPr>
            </w:pPr>
            <w:r>
              <w:rPr>
                <w:rFonts w:hint="eastAsia" w:ascii="宋体" w:hAnsi="宋体" w:eastAsia="宋体" w:cs="宋体"/>
                <w:sz w:val="20"/>
                <w:highlight w:val="none"/>
              </w:rPr>
              <w:t>满意度指标</w:t>
            </w:r>
          </w:p>
        </w:tc>
        <w:tc>
          <w:tcPr>
            <w:tcW w:w="2872" w:type="dxa"/>
            <w:tcBorders>
              <w:tl2br w:val="nil"/>
              <w:tr2bl w:val="nil"/>
            </w:tcBorders>
            <w:vAlign w:val="center"/>
          </w:tcPr>
          <w:p>
            <w:pPr>
              <w:widowControl/>
              <w:jc w:val="left"/>
              <w:textAlignment w:val="center"/>
              <w:rPr>
                <w:rFonts w:ascii="宋体" w:hAnsi="宋体" w:eastAsia="宋体" w:cs="宋体"/>
                <w:sz w:val="20"/>
                <w:highlight w:val="none"/>
              </w:rPr>
            </w:pPr>
            <w:r>
              <w:rPr>
                <w:rFonts w:hint="eastAsia" w:ascii="宋体" w:hAnsi="宋体" w:eastAsia="宋体" w:cs="宋体"/>
                <w:color w:val="000000"/>
                <w:kern w:val="0"/>
                <w:sz w:val="20"/>
                <w:szCs w:val="20"/>
                <w:highlight w:val="none"/>
              </w:rPr>
              <w:t>指标1：市民群众满意度</w:t>
            </w:r>
          </w:p>
        </w:tc>
        <w:tc>
          <w:tcPr>
            <w:tcW w:w="4228" w:type="dxa"/>
            <w:gridSpan w:val="2"/>
            <w:tcBorders>
              <w:tl2br w:val="nil"/>
              <w:tr2bl w:val="nil"/>
            </w:tcBorders>
            <w:vAlign w:val="center"/>
          </w:tcPr>
          <w:p>
            <w:pPr>
              <w:keepNext w:val="0"/>
              <w:keepLines w:val="0"/>
              <w:widowControl/>
              <w:suppressLineNumbers w:val="0"/>
              <w:jc w:val="center"/>
              <w:textAlignment w:val="center"/>
              <w:rPr>
                <w:rFonts w:hint="default" w:ascii="宋体" w:cs="宋体" w:eastAsiaTheme="minorEastAsia"/>
                <w:sz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≥90%</w:t>
            </w:r>
          </w:p>
        </w:tc>
      </w:tr>
    </w:tbl>
    <w:p>
      <w:pPr>
        <w:rPr>
          <w:rFonts w:hint="eastAsia" w:ascii="TimesNewRoman" w:hAnsi="TimesNewRoman" w:eastAsia="仿宋_GB2312" w:cs="TimesNewRoman"/>
          <w:kern w:val="0"/>
          <w:sz w:val="32"/>
          <w:szCs w:val="32"/>
          <w:highlight w:val="none"/>
          <w:lang w:val="en-US" w:eastAsia="zh-CN"/>
        </w:rPr>
      </w:pPr>
    </w:p>
    <w:p>
      <w:pPr>
        <w:ind w:firstLine="640" w:firstLineChars="200"/>
        <w:rPr>
          <w:rFonts w:hint="eastAsia"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lang w:val="en-US" w:eastAsia="zh-CN"/>
        </w:rPr>
        <w:t>5</w:t>
      </w:r>
      <w:r>
        <w:rPr>
          <w:rFonts w:hint="eastAsia" w:ascii="TimesNewRoman" w:hAnsi="TimesNewRoman" w:eastAsia="仿宋_GB2312" w:cs="TimesNewRoman"/>
          <w:kern w:val="0"/>
          <w:sz w:val="32"/>
          <w:szCs w:val="32"/>
          <w:highlight w:val="none"/>
        </w:rPr>
        <w:t>、“</w:t>
      </w:r>
      <w:r>
        <w:rPr>
          <w:rFonts w:hint="eastAsia" w:ascii="TimesNewRoman" w:hAnsi="TimesNewRoman" w:eastAsia="仿宋_GB2312" w:cs="TimesNewRoman"/>
          <w:kern w:val="0"/>
          <w:sz w:val="32"/>
          <w:szCs w:val="32"/>
          <w:highlight w:val="none"/>
          <w:lang w:val="en-US" w:eastAsia="zh-CN"/>
        </w:rPr>
        <w:t>商贸</w:t>
      </w:r>
      <w:r>
        <w:rPr>
          <w:rFonts w:hint="eastAsia" w:ascii="TimesNewRoman" w:hAnsi="TimesNewRoman" w:eastAsia="仿宋_GB2312" w:cs="TimesNewRoman"/>
          <w:kern w:val="0"/>
          <w:sz w:val="32"/>
          <w:szCs w:val="32"/>
          <w:highlight w:val="none"/>
        </w:rPr>
        <w:t>工作运行经费”项目。</w:t>
      </w:r>
    </w:p>
    <w:p>
      <w:pPr>
        <w:ind w:firstLine="640" w:firstLineChars="200"/>
        <w:rPr>
          <w:rFonts w:hint="eastAsia"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rPr>
        <w:t>（1）项目概述。负责为全市会展业提供服务保障等相关工作；负责指导、协调、服务全市各类会展活动，承担上级交办的会展相关工作；负责全市党政机关举办各类展会清理整顿等事务性工作；负责为城市商业网点规划、商业体系建设、商贸市场和农产品流通体系建设提供保障等相关工作；负责落实促进市场发展各项政策措施、规划、规范等；负责为商贸流通提供服务保障等相关工作；协助开展商贸流通发展状况的调查研究，掌握商贸流通发展态势，配合做好相关信息的采集和发布；负责为商贸流通提供培训、管理、招商、融资等咨询和精准服务；负责全市农贸市场城建卫生城市相关工作；协调督促农贸市场贯彻执行安全生产法律法规。</w:t>
      </w:r>
    </w:p>
    <w:p>
      <w:pPr>
        <w:ind w:firstLine="640" w:firstLineChars="200"/>
        <w:rPr>
          <w:rFonts w:hint="eastAsia"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rPr>
        <w:t>（2）立项依据：市政府文件</w:t>
      </w:r>
    </w:p>
    <w:p>
      <w:pPr>
        <w:ind w:firstLine="640" w:firstLineChars="200"/>
        <w:rPr>
          <w:rFonts w:hint="eastAsia"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rPr>
        <w:t>（3）实施主体：淮北市商贸发展服务中心</w:t>
      </w:r>
    </w:p>
    <w:p>
      <w:pPr>
        <w:ind w:firstLine="640" w:firstLineChars="200"/>
        <w:rPr>
          <w:rFonts w:hint="eastAsia"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rPr>
        <w:t>（4）起止时间：202</w:t>
      </w:r>
      <w:r>
        <w:rPr>
          <w:rFonts w:hint="eastAsia" w:ascii="TimesNewRoman" w:hAnsi="TimesNewRoman" w:eastAsia="仿宋_GB2312" w:cs="TimesNewRoman"/>
          <w:kern w:val="0"/>
          <w:sz w:val="32"/>
          <w:szCs w:val="32"/>
          <w:highlight w:val="none"/>
          <w:lang w:val="en-US" w:eastAsia="zh-CN"/>
        </w:rPr>
        <w:t>5</w:t>
      </w:r>
      <w:r>
        <w:rPr>
          <w:rFonts w:hint="eastAsia" w:ascii="TimesNewRoman" w:hAnsi="TimesNewRoman" w:eastAsia="仿宋_GB2312" w:cs="TimesNewRoman"/>
          <w:kern w:val="0"/>
          <w:sz w:val="32"/>
          <w:szCs w:val="32"/>
          <w:highlight w:val="none"/>
        </w:rPr>
        <w:t>年</w:t>
      </w:r>
      <w:r>
        <w:rPr>
          <w:rFonts w:hint="eastAsia" w:ascii="TimesNewRoman" w:hAnsi="TimesNewRoman" w:eastAsia="仿宋_GB2312" w:cs="TimesNewRoman"/>
          <w:kern w:val="0"/>
          <w:sz w:val="32"/>
          <w:szCs w:val="32"/>
          <w:highlight w:val="none"/>
          <w:lang w:val="en-US" w:eastAsia="zh-CN"/>
        </w:rPr>
        <w:t>1月</w:t>
      </w:r>
      <w:r>
        <w:rPr>
          <w:rFonts w:hint="eastAsia" w:ascii="TimesNewRoman" w:hAnsi="TimesNewRoman" w:eastAsia="仿宋_GB2312" w:cs="TimesNewRoman"/>
          <w:kern w:val="0"/>
          <w:sz w:val="32"/>
          <w:szCs w:val="32"/>
          <w:highlight w:val="none"/>
        </w:rPr>
        <w:t>—</w:t>
      </w:r>
      <w:r>
        <w:rPr>
          <w:rFonts w:hint="eastAsia" w:ascii="TimesNewRoman" w:hAnsi="TimesNewRoman" w:eastAsia="仿宋_GB2312" w:cs="TimesNewRoman"/>
          <w:kern w:val="0"/>
          <w:sz w:val="32"/>
          <w:szCs w:val="32"/>
          <w:highlight w:val="none"/>
          <w:lang w:val="en-US" w:eastAsia="zh-CN"/>
        </w:rPr>
        <w:t>12月</w:t>
      </w:r>
    </w:p>
    <w:p>
      <w:pPr>
        <w:ind w:firstLine="640" w:firstLineChars="200"/>
        <w:rPr>
          <w:rFonts w:hint="eastAsia"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rPr>
        <w:t>（5）项目内容：开展组织参加各种展会及商贸流通等工作。</w:t>
      </w:r>
    </w:p>
    <w:p>
      <w:pPr>
        <w:ind w:firstLine="640" w:firstLineChars="200"/>
        <w:rPr>
          <w:rFonts w:hint="eastAsia"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rPr>
        <w:t>（6）年度预算安排：202</w:t>
      </w:r>
      <w:r>
        <w:rPr>
          <w:rFonts w:hint="eastAsia" w:ascii="TimesNewRoman" w:hAnsi="TimesNewRoman" w:eastAsia="仿宋_GB2312" w:cs="TimesNewRoman"/>
          <w:kern w:val="0"/>
          <w:sz w:val="32"/>
          <w:szCs w:val="32"/>
          <w:highlight w:val="none"/>
          <w:lang w:val="en-US" w:eastAsia="zh-CN"/>
        </w:rPr>
        <w:t>5</w:t>
      </w:r>
      <w:r>
        <w:rPr>
          <w:rFonts w:hint="eastAsia" w:ascii="TimesNewRoman" w:hAnsi="TimesNewRoman" w:eastAsia="仿宋_GB2312" w:cs="TimesNewRoman"/>
          <w:kern w:val="0"/>
          <w:sz w:val="32"/>
          <w:szCs w:val="32"/>
          <w:highlight w:val="none"/>
        </w:rPr>
        <w:t>年安排预算资金</w:t>
      </w:r>
      <w:r>
        <w:rPr>
          <w:rFonts w:hint="eastAsia" w:ascii="TimesNewRoman" w:hAnsi="TimesNewRoman" w:eastAsia="仿宋_GB2312" w:cs="TimesNewRoman"/>
          <w:kern w:val="0"/>
          <w:sz w:val="32"/>
          <w:szCs w:val="32"/>
          <w:highlight w:val="none"/>
          <w:lang w:val="en-US" w:eastAsia="zh-CN"/>
        </w:rPr>
        <w:t>12</w:t>
      </w:r>
      <w:r>
        <w:rPr>
          <w:rFonts w:hint="eastAsia" w:ascii="TimesNewRoman" w:hAnsi="TimesNewRoman" w:eastAsia="仿宋_GB2312" w:cs="TimesNewRoman"/>
          <w:kern w:val="0"/>
          <w:sz w:val="32"/>
          <w:szCs w:val="32"/>
          <w:highlight w:val="none"/>
        </w:rPr>
        <w:t>万元</w:t>
      </w: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rPr>
        <w:t>（7）绩效目标：保障正常办公运转，提高各科室办公效率。</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755"/>
        <w:gridCol w:w="2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pPr>
              <w:widowControl/>
              <w:jc w:val="center"/>
              <w:textAlignment w:val="center"/>
              <w:rPr>
                <w:rFonts w:ascii="宋体" w:cs="宋体"/>
                <w:b/>
                <w:bCs/>
                <w:szCs w:val="32"/>
                <w:highlight w:val="none"/>
              </w:rPr>
            </w:pPr>
            <w:r>
              <w:rPr>
                <w:rFonts w:hint="eastAsia" w:ascii="宋体" w:hAnsi="宋体" w:eastAsia="宋体" w:cs="宋体"/>
                <w:b/>
                <w:color w:val="000000"/>
                <w:kern w:val="0"/>
                <w:sz w:val="28"/>
                <w:szCs w:val="28"/>
                <w:highlight w:val="none"/>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 xml:space="preserve"> （202</w:t>
            </w:r>
            <w:r>
              <w:rPr>
                <w:rFonts w:hint="eastAsia" w:ascii="宋体" w:hAnsi="宋体" w:eastAsia="宋体" w:cs="宋体"/>
                <w:color w:val="000000"/>
                <w:kern w:val="0"/>
                <w:sz w:val="20"/>
                <w:szCs w:val="20"/>
                <w:highlight w:val="none"/>
                <w:lang w:val="en-US" w:eastAsia="zh-CN"/>
              </w:rPr>
              <w:t>5</w:t>
            </w:r>
            <w:r>
              <w:rPr>
                <w:rFonts w:hint="eastAsia" w:ascii="宋体" w:hAnsi="宋体" w:eastAsia="宋体" w:cs="宋体"/>
                <w:color w:val="000000"/>
                <w:kern w:val="0"/>
                <w:sz w:val="20"/>
                <w:szCs w:val="20"/>
                <w:highlight w:val="none"/>
              </w:rPr>
              <w:t xml:space="preserve">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项目名称</w:t>
            </w:r>
          </w:p>
        </w:tc>
        <w:tc>
          <w:tcPr>
            <w:tcW w:w="7577" w:type="dxa"/>
            <w:gridSpan w:val="4"/>
            <w:tcBorders>
              <w:tl2br w:val="nil"/>
              <w:tr2bl w:val="nil"/>
            </w:tcBorders>
            <w:vAlign w:val="center"/>
          </w:tcPr>
          <w:p>
            <w:pPr>
              <w:jc w:val="center"/>
              <w:rPr>
                <w:rFonts w:ascii="宋体" w:cs="宋体"/>
                <w:sz w:val="20"/>
                <w:highlight w:val="none"/>
              </w:rPr>
            </w:pPr>
            <w:r>
              <w:rPr>
                <w:rFonts w:hint="eastAsia" w:ascii="宋体" w:hAnsi="宋体" w:eastAsia="宋体" w:cs="宋体"/>
                <w:i w:val="0"/>
                <w:iCs w:val="0"/>
                <w:color w:val="000000"/>
                <w:kern w:val="0"/>
                <w:sz w:val="20"/>
                <w:szCs w:val="20"/>
                <w:highlight w:val="none"/>
                <w:u w:val="none"/>
                <w:lang w:val="en-US" w:eastAsia="zh-CN" w:bidi="ar"/>
              </w:rPr>
              <w:t>商贸工作运行经费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主管部门   及代码</w:t>
            </w:r>
          </w:p>
        </w:tc>
        <w:tc>
          <w:tcPr>
            <w:tcW w:w="3349" w:type="dxa"/>
            <w:gridSpan w:val="2"/>
            <w:tcBorders>
              <w:tl2br w:val="nil"/>
              <w:tr2bl w:val="nil"/>
            </w:tcBorders>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iCs w:val="0"/>
                <w:color w:val="000000"/>
                <w:kern w:val="0"/>
                <w:sz w:val="20"/>
                <w:szCs w:val="20"/>
                <w:highlight w:val="none"/>
                <w:u w:val="none"/>
                <w:lang w:val="en-US" w:eastAsia="zh-CN" w:bidi="ar"/>
              </w:rPr>
              <w:t>[288]淮北市商务局</w:t>
            </w:r>
          </w:p>
        </w:tc>
        <w:tc>
          <w:tcPr>
            <w:tcW w:w="1755" w:type="dxa"/>
            <w:tcBorders>
              <w:tl2br w:val="nil"/>
              <w:tr2bl w:val="nil"/>
            </w:tcBorders>
            <w:vAlign w:val="center"/>
          </w:tcPr>
          <w:p>
            <w:pPr>
              <w:widowControl/>
              <w:jc w:val="center"/>
              <w:textAlignment w:val="center"/>
              <w:rPr>
                <w:highlight w:val="none"/>
              </w:rPr>
            </w:pPr>
            <w:r>
              <w:rPr>
                <w:rFonts w:hint="eastAsia" w:ascii="宋体" w:hAnsi="宋体" w:eastAsia="宋体" w:cs="宋体"/>
                <w:color w:val="000000"/>
                <w:kern w:val="0"/>
                <w:sz w:val="20"/>
                <w:szCs w:val="20"/>
                <w:highlight w:val="none"/>
              </w:rPr>
              <w:t>实施单位</w:t>
            </w:r>
          </w:p>
        </w:tc>
        <w:tc>
          <w:tcPr>
            <w:tcW w:w="2473" w:type="dxa"/>
            <w:tcBorders>
              <w:tl2br w:val="nil"/>
              <w:tr2bl w:val="nil"/>
            </w:tcBorders>
            <w:vAlign w:val="center"/>
          </w:tcPr>
          <w:p>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1"/>
                <w:szCs w:val="21"/>
                <w:highlight w:val="none"/>
                <w:u w:val="none"/>
                <w:lang w:val="en-US" w:eastAsia="zh-CN" w:bidi="ar"/>
              </w:rPr>
              <w:t>淮北</w:t>
            </w:r>
            <w:r>
              <w:rPr>
                <w:rFonts w:hint="eastAsia" w:ascii="宋体" w:hAnsi="宋体" w:eastAsia="宋体" w:cs="宋体"/>
                <w:i w:val="0"/>
                <w:iCs w:val="0"/>
                <w:color w:val="000000"/>
                <w:kern w:val="0"/>
                <w:sz w:val="20"/>
                <w:szCs w:val="20"/>
                <w:highlight w:val="none"/>
                <w:u w:val="none"/>
                <w:lang w:val="en-US" w:eastAsia="zh-CN" w:bidi="ar"/>
              </w:rPr>
              <w:t>市商贸发展服务中心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项目来源</w:t>
            </w:r>
          </w:p>
        </w:tc>
        <w:tc>
          <w:tcPr>
            <w:tcW w:w="3349" w:type="dxa"/>
            <w:gridSpan w:val="2"/>
            <w:tcBorders>
              <w:tl2br w:val="nil"/>
              <w:tr2bl w:val="nil"/>
            </w:tcBorders>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iCs w:val="0"/>
                <w:color w:val="000000"/>
                <w:kern w:val="0"/>
                <w:sz w:val="20"/>
                <w:szCs w:val="20"/>
                <w:highlight w:val="none"/>
                <w:u w:val="none"/>
                <w:lang w:val="en-US" w:eastAsia="zh-CN" w:bidi="ar"/>
              </w:rPr>
              <w:t>本级申报项目</w:t>
            </w:r>
          </w:p>
        </w:tc>
        <w:tc>
          <w:tcPr>
            <w:tcW w:w="1755" w:type="dxa"/>
            <w:tcBorders>
              <w:tl2br w:val="nil"/>
              <w:tr2bl w:val="nil"/>
            </w:tcBorders>
            <w:vAlign w:val="center"/>
          </w:tcPr>
          <w:p>
            <w:pPr>
              <w:widowControl/>
              <w:jc w:val="center"/>
              <w:textAlignment w:val="center"/>
              <w:rPr>
                <w:highlight w:val="none"/>
              </w:rPr>
            </w:pPr>
            <w:r>
              <w:rPr>
                <w:rFonts w:hint="eastAsia" w:ascii="宋体" w:hAnsi="宋体" w:eastAsia="宋体" w:cs="宋体"/>
                <w:color w:val="000000"/>
                <w:kern w:val="0"/>
                <w:sz w:val="20"/>
                <w:szCs w:val="20"/>
                <w:highlight w:val="none"/>
              </w:rPr>
              <w:t>项目期</w:t>
            </w:r>
          </w:p>
        </w:tc>
        <w:tc>
          <w:tcPr>
            <w:tcW w:w="2473" w:type="dxa"/>
            <w:tcBorders>
              <w:tl2br w:val="nil"/>
              <w:tr2bl w:val="nil"/>
            </w:tcBorders>
            <w:vAlign w:val="center"/>
          </w:tcPr>
          <w:p>
            <w:pPr>
              <w:keepNext w:val="0"/>
              <w:keepLines w:val="0"/>
              <w:widowControl/>
              <w:suppressLineNumbers w:val="0"/>
              <w:jc w:val="center"/>
              <w:textAlignment w:val="center"/>
              <w:rPr>
                <w:highlight w:val="none"/>
              </w:rPr>
            </w:pPr>
            <w:r>
              <w:rPr>
                <w:rStyle w:val="12"/>
                <w:rFonts w:eastAsia="宋体"/>
                <w:highlight w:val="none"/>
                <w:lang w:val="en-US" w:eastAsia="zh-CN" w:bidi="ar"/>
              </w:rPr>
              <w:t xml:space="preserve"> 1</w:t>
            </w:r>
            <w:r>
              <w:rPr>
                <w:rStyle w:val="13"/>
                <w:highlight w:val="none"/>
                <w:lang w:val="en-US" w:eastAsia="zh-CN"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项目资金</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（万元）</w:t>
            </w:r>
          </w:p>
        </w:tc>
        <w:tc>
          <w:tcPr>
            <w:tcW w:w="3349" w:type="dxa"/>
            <w:gridSpan w:val="2"/>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 xml:space="preserve"> 年度资金总额：</w:t>
            </w:r>
          </w:p>
        </w:tc>
        <w:tc>
          <w:tcPr>
            <w:tcW w:w="4228" w:type="dxa"/>
            <w:gridSpan w:val="2"/>
            <w:tcBorders>
              <w:tl2br w:val="nil"/>
              <w:tr2bl w:val="nil"/>
            </w:tcBorders>
            <w:vAlign w:val="center"/>
          </w:tcPr>
          <w:p>
            <w:pPr>
              <w:jc w:val="right"/>
              <w:rPr>
                <w:rFonts w:hint="default" w:ascii="宋体" w:cs="宋体" w:eastAsiaTheme="minorEastAsia"/>
                <w:sz w:val="20"/>
                <w:highlight w:val="none"/>
                <w:lang w:val="en-US" w:eastAsia="zh-CN"/>
              </w:rPr>
            </w:pPr>
            <w:r>
              <w:rPr>
                <w:rFonts w:hint="eastAsia" w:ascii="宋体" w:cs="宋体"/>
                <w:sz w:val="20"/>
                <w:highlight w:val="none"/>
                <w:lang w:val="en-US" w:eastAsia="zh-CN"/>
              </w:rPr>
              <w:t>12万元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宋体" w:cs="宋体"/>
                <w:sz w:val="20"/>
                <w:highlight w:val="none"/>
              </w:rPr>
            </w:pPr>
          </w:p>
        </w:tc>
        <w:tc>
          <w:tcPr>
            <w:tcW w:w="3349" w:type="dxa"/>
            <w:gridSpan w:val="2"/>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 xml:space="preserve">   其中：财政拨款</w:t>
            </w:r>
          </w:p>
        </w:tc>
        <w:tc>
          <w:tcPr>
            <w:tcW w:w="4228" w:type="dxa"/>
            <w:gridSpan w:val="2"/>
            <w:tcBorders>
              <w:tl2br w:val="nil"/>
              <w:tr2bl w:val="nil"/>
            </w:tcBorders>
            <w:vAlign w:val="center"/>
          </w:tcPr>
          <w:p>
            <w:pPr>
              <w:jc w:val="right"/>
              <w:rPr>
                <w:rFonts w:hint="default" w:ascii="宋体" w:cs="宋体" w:eastAsiaTheme="minorEastAsia"/>
                <w:sz w:val="20"/>
                <w:highlight w:val="none"/>
                <w:lang w:val="en-US" w:eastAsia="zh-CN"/>
              </w:rPr>
            </w:pPr>
            <w:r>
              <w:rPr>
                <w:rFonts w:hint="eastAsia" w:ascii="宋体" w:cs="宋体"/>
                <w:sz w:val="20"/>
                <w:highlight w:val="none"/>
                <w:lang w:val="en-US" w:eastAsia="zh-CN"/>
              </w:rPr>
              <w:t>12万元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宋体" w:cs="宋体"/>
                <w:sz w:val="20"/>
                <w:highlight w:val="none"/>
              </w:rPr>
            </w:pPr>
          </w:p>
        </w:tc>
        <w:tc>
          <w:tcPr>
            <w:tcW w:w="3349" w:type="dxa"/>
            <w:gridSpan w:val="2"/>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 xml:space="preserve">         上年结转</w:t>
            </w:r>
          </w:p>
        </w:tc>
        <w:tc>
          <w:tcPr>
            <w:tcW w:w="4228" w:type="dxa"/>
            <w:gridSpan w:val="2"/>
            <w:tcBorders>
              <w:tl2br w:val="nil"/>
              <w:tr2bl w:val="nil"/>
            </w:tcBorders>
            <w:vAlign w:val="center"/>
          </w:tcPr>
          <w:p>
            <w:pPr>
              <w:jc w:val="center"/>
              <w:rPr>
                <w:rFonts w:ascii="宋体" w:cs="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宋体" w:cs="宋体"/>
                <w:sz w:val="20"/>
                <w:highlight w:val="none"/>
              </w:rPr>
            </w:pPr>
          </w:p>
        </w:tc>
        <w:tc>
          <w:tcPr>
            <w:tcW w:w="3349" w:type="dxa"/>
            <w:gridSpan w:val="2"/>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 xml:space="preserve">         其他资金</w:t>
            </w:r>
          </w:p>
        </w:tc>
        <w:tc>
          <w:tcPr>
            <w:tcW w:w="4228" w:type="dxa"/>
            <w:gridSpan w:val="2"/>
            <w:tcBorders>
              <w:tl2br w:val="nil"/>
              <w:tr2bl w:val="nil"/>
            </w:tcBorders>
            <w:vAlign w:val="center"/>
          </w:tcPr>
          <w:p>
            <w:pPr>
              <w:jc w:val="right"/>
              <w:rPr>
                <w:rFonts w:ascii="宋体" w:cs="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年度</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目标</w:t>
            </w:r>
          </w:p>
        </w:tc>
        <w:tc>
          <w:tcPr>
            <w:tcW w:w="8582" w:type="dxa"/>
            <w:gridSpan w:val="6"/>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目标1：负责指导、协调、服务全市各类会展活动，承担上级交办的会展相关工作。</w:t>
            </w:r>
          </w:p>
          <w:p>
            <w:pPr>
              <w:keepNext w:val="0"/>
              <w:keepLines w:val="0"/>
              <w:widowControl/>
              <w:suppressLineNumbers w:val="0"/>
              <w:jc w:val="left"/>
              <w:textAlignment w:val="center"/>
              <w:rPr>
                <w:rFonts w:ascii="宋体" w:cs="宋体"/>
                <w:sz w:val="20"/>
                <w:highlight w:val="none"/>
              </w:rPr>
            </w:pPr>
            <w:r>
              <w:rPr>
                <w:rStyle w:val="14"/>
                <w:highlight w:val="none"/>
                <w:lang w:val="en-US" w:eastAsia="zh-CN" w:bidi="ar"/>
              </w:rPr>
              <w:t>目标2：</w:t>
            </w:r>
            <w:r>
              <w:rPr>
                <w:rFonts w:hint="eastAsia" w:ascii="宋体" w:hAnsi="宋体" w:eastAsia="宋体" w:cs="宋体"/>
                <w:i w:val="0"/>
                <w:iCs w:val="0"/>
                <w:color w:val="000000"/>
                <w:kern w:val="0"/>
                <w:sz w:val="20"/>
                <w:szCs w:val="20"/>
                <w:highlight w:val="none"/>
                <w:u w:val="none"/>
                <w:lang w:val="en-US" w:eastAsia="zh-CN" w:bidi="ar"/>
              </w:rPr>
              <w:t>负责为城市商业网点规划、商业体系建设、商贸市场和农产品流通体系建设提供服务保障等相关工作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绩</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效</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指</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标</w:t>
            </w:r>
          </w:p>
        </w:tc>
        <w:tc>
          <w:tcPr>
            <w:tcW w:w="723" w:type="dxa"/>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一级</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指标</w:t>
            </w:r>
          </w:p>
        </w:tc>
        <w:tc>
          <w:tcPr>
            <w:tcW w:w="759" w:type="dxa"/>
            <w:gridSpan w:val="2"/>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二级指标</w:t>
            </w:r>
          </w:p>
        </w:tc>
        <w:tc>
          <w:tcPr>
            <w:tcW w:w="2872" w:type="dxa"/>
            <w:tcBorders>
              <w:tl2br w:val="nil"/>
              <w:tr2bl w:val="nil"/>
            </w:tcBorders>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三级指标</w:t>
            </w:r>
          </w:p>
        </w:tc>
        <w:tc>
          <w:tcPr>
            <w:tcW w:w="4228" w:type="dxa"/>
            <w:gridSpan w:val="2"/>
            <w:tcBorders>
              <w:tl2br w:val="nil"/>
              <w:tr2bl w:val="nil"/>
            </w:tcBorders>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vMerge w:val="restart"/>
            <w:tcBorders>
              <w:tl2br w:val="nil"/>
              <w:tr2bl w:val="nil"/>
            </w:tcBorders>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产出指标</w:t>
            </w:r>
          </w:p>
        </w:tc>
        <w:tc>
          <w:tcPr>
            <w:tcW w:w="759" w:type="dxa"/>
            <w:gridSpan w:val="2"/>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数量指标</w:t>
            </w:r>
          </w:p>
        </w:tc>
        <w:tc>
          <w:tcPr>
            <w:tcW w:w="2872" w:type="dxa"/>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指标1：</w:t>
            </w:r>
            <w:r>
              <w:rPr>
                <w:rFonts w:hint="eastAsia" w:ascii="宋体" w:hAnsi="宋体" w:eastAsia="宋体" w:cs="宋体"/>
                <w:i w:val="0"/>
                <w:iCs w:val="0"/>
                <w:color w:val="000000"/>
                <w:kern w:val="0"/>
                <w:sz w:val="20"/>
                <w:szCs w:val="20"/>
                <w:highlight w:val="none"/>
                <w:u w:val="none"/>
                <w:lang w:val="en-US" w:eastAsia="zh-CN" w:bidi="ar"/>
              </w:rPr>
              <w:t>全年参会数量</w:t>
            </w:r>
          </w:p>
        </w:tc>
        <w:tc>
          <w:tcPr>
            <w:tcW w:w="4228" w:type="dxa"/>
            <w:gridSpan w:val="2"/>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highlight w:val="none"/>
                <w:lang w:val="en-US"/>
              </w:rPr>
            </w:pPr>
            <w:r>
              <w:rPr>
                <w:rFonts w:hint="eastAsia" w:ascii="宋体" w:hAnsi="宋体" w:eastAsia="宋体" w:cs="宋体"/>
                <w:i w:val="0"/>
                <w:iCs w:val="0"/>
                <w:color w:val="000000"/>
                <w:kern w:val="0"/>
                <w:sz w:val="20"/>
                <w:szCs w:val="20"/>
                <w:highlight w:val="none"/>
                <w:u w:val="none"/>
                <w:lang w:val="en-US" w:eastAsia="zh-CN" w:bidi="ar"/>
              </w:rPr>
              <w:t>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vMerge w:val="continue"/>
            <w:tcBorders>
              <w:tl2br w:val="nil"/>
              <w:tr2bl w:val="nil"/>
            </w:tcBorders>
            <w:vAlign w:val="center"/>
          </w:tcPr>
          <w:p>
            <w:pPr>
              <w:jc w:val="center"/>
              <w:rPr>
                <w:rFonts w:ascii="宋体" w:cs="宋体"/>
                <w:sz w:val="20"/>
                <w:highlight w:val="none"/>
              </w:rPr>
            </w:pPr>
          </w:p>
        </w:tc>
        <w:tc>
          <w:tcPr>
            <w:tcW w:w="759" w:type="dxa"/>
            <w:gridSpan w:val="2"/>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质量指标</w:t>
            </w:r>
          </w:p>
        </w:tc>
        <w:tc>
          <w:tcPr>
            <w:tcW w:w="2872" w:type="dxa"/>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指标1：</w:t>
            </w:r>
            <w:r>
              <w:rPr>
                <w:rFonts w:hint="eastAsia" w:ascii="宋体" w:hAnsi="宋体" w:eastAsia="宋体" w:cs="宋体"/>
                <w:i w:val="0"/>
                <w:iCs w:val="0"/>
                <w:color w:val="000000"/>
                <w:kern w:val="0"/>
                <w:sz w:val="20"/>
                <w:szCs w:val="20"/>
                <w:highlight w:val="none"/>
                <w:u w:val="none"/>
                <w:lang w:val="en-US" w:eastAsia="zh-CN" w:bidi="ar"/>
              </w:rPr>
              <w:t>完成办会标准</w:t>
            </w:r>
          </w:p>
        </w:tc>
        <w:tc>
          <w:tcPr>
            <w:tcW w:w="4228"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合规性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vMerge w:val="continue"/>
            <w:tcBorders>
              <w:tl2br w:val="nil"/>
              <w:tr2bl w:val="nil"/>
            </w:tcBorders>
            <w:vAlign w:val="center"/>
          </w:tcPr>
          <w:p>
            <w:pPr>
              <w:jc w:val="center"/>
              <w:rPr>
                <w:rFonts w:ascii="宋体" w:cs="宋体"/>
                <w:sz w:val="20"/>
                <w:highlight w:val="none"/>
              </w:rPr>
            </w:pPr>
          </w:p>
        </w:tc>
        <w:tc>
          <w:tcPr>
            <w:tcW w:w="759" w:type="dxa"/>
            <w:gridSpan w:val="2"/>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时效指标</w:t>
            </w:r>
          </w:p>
        </w:tc>
        <w:tc>
          <w:tcPr>
            <w:tcW w:w="2872" w:type="dxa"/>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指标1：</w:t>
            </w:r>
            <w:r>
              <w:rPr>
                <w:rFonts w:hint="eastAsia" w:ascii="宋体" w:hAnsi="宋体" w:eastAsia="宋体" w:cs="宋体"/>
                <w:i w:val="0"/>
                <w:iCs w:val="0"/>
                <w:color w:val="000000"/>
                <w:kern w:val="0"/>
                <w:sz w:val="20"/>
                <w:szCs w:val="20"/>
                <w:highlight w:val="none"/>
                <w:u w:val="none"/>
                <w:lang w:val="en-US" w:eastAsia="zh-CN" w:bidi="ar"/>
              </w:rPr>
              <w:t>资金拨付时间</w:t>
            </w:r>
          </w:p>
        </w:tc>
        <w:tc>
          <w:tcPr>
            <w:tcW w:w="4228"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vMerge w:val="continue"/>
            <w:tcBorders>
              <w:tl2br w:val="nil"/>
              <w:tr2bl w:val="nil"/>
            </w:tcBorders>
            <w:vAlign w:val="center"/>
          </w:tcPr>
          <w:p>
            <w:pPr>
              <w:jc w:val="center"/>
              <w:rPr>
                <w:rFonts w:ascii="宋体" w:cs="宋体"/>
                <w:sz w:val="20"/>
                <w:highlight w:val="none"/>
              </w:rPr>
            </w:pPr>
          </w:p>
        </w:tc>
        <w:tc>
          <w:tcPr>
            <w:tcW w:w="759" w:type="dxa"/>
            <w:gridSpan w:val="2"/>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成本指标</w:t>
            </w:r>
          </w:p>
        </w:tc>
        <w:tc>
          <w:tcPr>
            <w:tcW w:w="2872" w:type="dxa"/>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指标1：</w:t>
            </w:r>
            <w:r>
              <w:rPr>
                <w:rFonts w:hint="eastAsia" w:ascii="宋体" w:hAnsi="宋体" w:eastAsia="宋体" w:cs="宋体"/>
                <w:i w:val="0"/>
                <w:iCs w:val="0"/>
                <w:color w:val="000000"/>
                <w:kern w:val="0"/>
                <w:sz w:val="20"/>
                <w:szCs w:val="20"/>
                <w:highlight w:val="none"/>
                <w:u w:val="none"/>
                <w:lang w:val="en-US" w:eastAsia="zh-CN" w:bidi="ar"/>
              </w:rPr>
              <w:t>费用支出总额</w:t>
            </w:r>
          </w:p>
        </w:tc>
        <w:tc>
          <w:tcPr>
            <w:tcW w:w="4228"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vMerge w:val="restart"/>
            <w:tcBorders>
              <w:tl2br w:val="nil"/>
              <w:tr2bl w:val="nil"/>
            </w:tcBorders>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效益指标</w:t>
            </w:r>
          </w:p>
        </w:tc>
        <w:tc>
          <w:tcPr>
            <w:tcW w:w="759" w:type="dxa"/>
            <w:gridSpan w:val="2"/>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经济效益指标</w:t>
            </w:r>
          </w:p>
        </w:tc>
        <w:tc>
          <w:tcPr>
            <w:tcW w:w="2872" w:type="dxa"/>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指标1：</w:t>
            </w:r>
            <w:r>
              <w:rPr>
                <w:rFonts w:hint="eastAsia" w:ascii="宋体" w:hAnsi="宋体" w:eastAsia="宋体" w:cs="宋体"/>
                <w:i w:val="0"/>
                <w:iCs w:val="0"/>
                <w:color w:val="000000"/>
                <w:kern w:val="0"/>
                <w:sz w:val="20"/>
                <w:szCs w:val="20"/>
                <w:highlight w:val="none"/>
                <w:u w:val="none"/>
                <w:lang w:val="en-US" w:eastAsia="zh-CN" w:bidi="ar"/>
              </w:rPr>
              <w:t>为商贸流通提供服务保障等相关工作</w:t>
            </w:r>
          </w:p>
        </w:tc>
        <w:tc>
          <w:tcPr>
            <w:tcW w:w="4228"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highlight w:val="none"/>
              </w:rPr>
            </w:pPr>
            <w:r>
              <w:rPr>
                <w:rFonts w:hint="eastAsia" w:ascii="宋体" w:hAnsi="宋体" w:eastAsia="宋体" w:cs="宋体"/>
                <w:i w:val="0"/>
                <w:iCs w:val="0"/>
                <w:color w:val="000000"/>
                <w:sz w:val="20"/>
                <w:szCs w:val="20"/>
                <w:highlight w:val="none"/>
                <w:u w:val="none"/>
                <w:lang w:eastAsia="zh-CN"/>
              </w:rPr>
              <w:t>为商贸流通提供培训、管理、招商、融资等咨询和精准服务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vMerge w:val="continue"/>
            <w:tcBorders>
              <w:tl2br w:val="nil"/>
              <w:tr2bl w:val="nil"/>
            </w:tcBorders>
            <w:vAlign w:val="center"/>
          </w:tcPr>
          <w:p>
            <w:pPr>
              <w:jc w:val="center"/>
              <w:rPr>
                <w:rFonts w:ascii="宋体" w:cs="宋体"/>
                <w:sz w:val="20"/>
                <w:highlight w:val="none"/>
              </w:rPr>
            </w:pPr>
          </w:p>
        </w:tc>
        <w:tc>
          <w:tcPr>
            <w:tcW w:w="759" w:type="dxa"/>
            <w:gridSpan w:val="2"/>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社会效益指标</w:t>
            </w:r>
          </w:p>
        </w:tc>
        <w:tc>
          <w:tcPr>
            <w:tcW w:w="2872" w:type="dxa"/>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指标1：</w:t>
            </w:r>
            <w:r>
              <w:rPr>
                <w:rFonts w:hint="eastAsia" w:ascii="宋体" w:hAnsi="宋体" w:eastAsia="宋体" w:cs="宋体"/>
                <w:i w:val="0"/>
                <w:iCs w:val="0"/>
                <w:color w:val="000000"/>
                <w:kern w:val="0"/>
                <w:sz w:val="20"/>
                <w:szCs w:val="20"/>
                <w:highlight w:val="none"/>
                <w:u w:val="none"/>
                <w:lang w:val="en-US" w:eastAsia="zh-CN" w:bidi="ar"/>
              </w:rPr>
              <w:t>大力推进招商引资</w:t>
            </w:r>
          </w:p>
        </w:tc>
        <w:tc>
          <w:tcPr>
            <w:tcW w:w="4228"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带动就业，促进经济发展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vMerge w:val="continue"/>
            <w:tcBorders>
              <w:tl2br w:val="nil"/>
              <w:tr2bl w:val="nil"/>
            </w:tcBorders>
            <w:vAlign w:val="center"/>
          </w:tcPr>
          <w:p>
            <w:pPr>
              <w:jc w:val="center"/>
              <w:rPr>
                <w:rFonts w:ascii="宋体" w:cs="宋体"/>
                <w:sz w:val="20"/>
                <w:highlight w:val="none"/>
              </w:rPr>
            </w:pPr>
          </w:p>
        </w:tc>
        <w:tc>
          <w:tcPr>
            <w:tcW w:w="759" w:type="dxa"/>
            <w:gridSpan w:val="2"/>
            <w:tcBorders>
              <w:tl2br w:val="nil"/>
              <w:tr2bl w:val="nil"/>
            </w:tcBorders>
            <w:vAlign w:val="center"/>
          </w:tcPr>
          <w:p>
            <w:pPr>
              <w:widowControl/>
              <w:spacing w:line="200" w:lineRule="exact"/>
              <w:jc w:val="center"/>
              <w:textAlignment w:val="center"/>
              <w:rPr>
                <w:rFonts w:ascii="宋体" w:cs="宋体"/>
                <w:sz w:val="20"/>
                <w:highlight w:val="none"/>
              </w:rPr>
            </w:pPr>
            <w:r>
              <w:rPr>
                <w:rFonts w:hint="eastAsia" w:ascii="宋体" w:hAnsi="宋体" w:eastAsia="宋体" w:cs="宋体"/>
                <w:color w:val="000000"/>
                <w:kern w:val="0"/>
                <w:sz w:val="20"/>
                <w:szCs w:val="20"/>
                <w:highlight w:val="none"/>
              </w:rPr>
              <w:t>生态效益指标</w:t>
            </w:r>
          </w:p>
        </w:tc>
        <w:tc>
          <w:tcPr>
            <w:tcW w:w="2872" w:type="dxa"/>
            <w:tcBorders>
              <w:tl2br w:val="nil"/>
              <w:tr2bl w:val="nil"/>
            </w:tcBorders>
            <w:vAlign w:val="center"/>
          </w:tcPr>
          <w:p>
            <w:pPr>
              <w:widowControl/>
              <w:jc w:val="left"/>
              <w:textAlignment w:val="center"/>
              <w:rPr>
                <w:rFonts w:ascii="宋体" w:cs="宋体"/>
                <w:sz w:val="20"/>
                <w:highlight w:val="none"/>
              </w:rPr>
            </w:pPr>
            <w:r>
              <w:rPr>
                <w:rFonts w:hint="eastAsia" w:ascii="宋体" w:hAnsi="宋体" w:eastAsia="宋体" w:cs="宋体"/>
                <w:color w:val="000000"/>
                <w:kern w:val="0"/>
                <w:sz w:val="20"/>
                <w:szCs w:val="20"/>
                <w:highlight w:val="none"/>
              </w:rPr>
              <w:t>指标1：</w:t>
            </w:r>
            <w:r>
              <w:rPr>
                <w:rFonts w:hint="eastAsia" w:ascii="宋体" w:hAnsi="宋体" w:eastAsia="宋体" w:cs="宋体"/>
                <w:i w:val="0"/>
                <w:iCs w:val="0"/>
                <w:color w:val="000000"/>
                <w:kern w:val="0"/>
                <w:sz w:val="20"/>
                <w:szCs w:val="20"/>
                <w:highlight w:val="none"/>
                <w:u w:val="none"/>
                <w:lang w:val="en-US" w:eastAsia="zh-CN" w:bidi="ar"/>
              </w:rPr>
              <w:t>国家生态环保要求</w:t>
            </w:r>
          </w:p>
        </w:tc>
        <w:tc>
          <w:tcPr>
            <w:tcW w:w="4228"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符合国家生态环保要求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vMerge w:val="continue"/>
            <w:tcBorders>
              <w:tl2br w:val="nil"/>
              <w:tr2bl w:val="nil"/>
            </w:tcBorders>
            <w:vAlign w:val="center"/>
          </w:tcPr>
          <w:p>
            <w:pPr>
              <w:jc w:val="center"/>
              <w:rPr>
                <w:rFonts w:ascii="宋体" w:cs="宋体"/>
                <w:sz w:val="20"/>
                <w:highlight w:val="none"/>
              </w:rPr>
            </w:pPr>
          </w:p>
        </w:tc>
        <w:tc>
          <w:tcPr>
            <w:tcW w:w="759" w:type="dxa"/>
            <w:gridSpan w:val="2"/>
            <w:tcBorders>
              <w:tl2br w:val="nil"/>
              <w:tr2bl w:val="nil"/>
            </w:tcBorders>
            <w:vAlign w:val="center"/>
          </w:tcPr>
          <w:p>
            <w:pPr>
              <w:widowControl/>
              <w:spacing w:line="200" w:lineRule="exact"/>
              <w:jc w:val="center"/>
              <w:rPr>
                <w:rFonts w:ascii="宋体" w:hAnsi="宋体" w:eastAsia="宋体" w:cs="宋体"/>
                <w:sz w:val="20"/>
                <w:highlight w:val="none"/>
              </w:rPr>
            </w:pPr>
            <w:r>
              <w:rPr>
                <w:rFonts w:hint="eastAsia" w:ascii="宋体" w:hAnsi="宋体" w:eastAsia="宋体" w:cs="宋体"/>
                <w:sz w:val="20"/>
                <w:highlight w:val="none"/>
              </w:rPr>
              <w:t>可持续影响指标</w:t>
            </w:r>
          </w:p>
        </w:tc>
        <w:tc>
          <w:tcPr>
            <w:tcW w:w="2872" w:type="dxa"/>
            <w:tcBorders>
              <w:tl2br w:val="nil"/>
              <w:tr2bl w:val="nil"/>
            </w:tcBorders>
            <w:vAlign w:val="center"/>
          </w:tcPr>
          <w:p>
            <w:pPr>
              <w:widowControl/>
              <w:jc w:val="left"/>
              <w:textAlignment w:val="center"/>
              <w:rPr>
                <w:rFonts w:ascii="宋体" w:hAnsi="宋体" w:eastAsia="宋体" w:cs="宋体"/>
                <w:sz w:val="20"/>
                <w:highlight w:val="none"/>
              </w:rPr>
            </w:pPr>
            <w:r>
              <w:rPr>
                <w:rFonts w:hint="eastAsia" w:ascii="宋体" w:hAnsi="宋体" w:eastAsia="宋体" w:cs="宋体"/>
                <w:color w:val="000000"/>
                <w:kern w:val="0"/>
                <w:sz w:val="20"/>
                <w:szCs w:val="20"/>
                <w:highlight w:val="none"/>
              </w:rPr>
              <w:t>指标1：</w:t>
            </w:r>
            <w:r>
              <w:rPr>
                <w:rFonts w:hint="eastAsia" w:ascii="宋体" w:hAnsi="宋体" w:eastAsia="宋体" w:cs="宋体"/>
                <w:i w:val="0"/>
                <w:iCs w:val="0"/>
                <w:color w:val="000000"/>
                <w:kern w:val="0"/>
                <w:sz w:val="20"/>
                <w:szCs w:val="20"/>
                <w:highlight w:val="none"/>
                <w:u w:val="none"/>
                <w:lang w:val="en-US" w:eastAsia="zh-CN" w:bidi="ar"/>
              </w:rPr>
              <w:t>指导全市农贸市场项目发展</w:t>
            </w:r>
          </w:p>
        </w:tc>
        <w:tc>
          <w:tcPr>
            <w:tcW w:w="4228"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对农贸市场项目进度及完成情况进行跟踪服务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highlight w:val="none"/>
              </w:rPr>
            </w:pPr>
          </w:p>
        </w:tc>
        <w:tc>
          <w:tcPr>
            <w:tcW w:w="723" w:type="dxa"/>
            <w:tcBorders>
              <w:tl2br w:val="nil"/>
              <w:tr2bl w:val="nil"/>
            </w:tcBorders>
            <w:vAlign w:val="center"/>
          </w:tcPr>
          <w:p>
            <w:pPr>
              <w:widowControl/>
              <w:spacing w:line="200" w:lineRule="exact"/>
              <w:jc w:val="center"/>
              <w:rPr>
                <w:rFonts w:ascii="宋体" w:hAnsi="宋体" w:eastAsia="宋体" w:cs="宋体"/>
                <w:sz w:val="20"/>
                <w:highlight w:val="none"/>
              </w:rPr>
            </w:pPr>
            <w:r>
              <w:rPr>
                <w:rFonts w:hint="eastAsia" w:ascii="宋体" w:hAnsi="宋体" w:eastAsia="宋体" w:cs="宋体"/>
                <w:sz w:val="20"/>
                <w:highlight w:val="none"/>
              </w:rPr>
              <w:t>满意度指标</w:t>
            </w:r>
          </w:p>
        </w:tc>
        <w:tc>
          <w:tcPr>
            <w:tcW w:w="759" w:type="dxa"/>
            <w:gridSpan w:val="2"/>
            <w:tcBorders>
              <w:tl2br w:val="nil"/>
              <w:tr2bl w:val="nil"/>
            </w:tcBorders>
            <w:vAlign w:val="center"/>
          </w:tcPr>
          <w:p>
            <w:pPr>
              <w:widowControl/>
              <w:spacing w:line="200" w:lineRule="exact"/>
              <w:jc w:val="center"/>
              <w:rPr>
                <w:rFonts w:ascii="宋体" w:hAnsi="宋体" w:eastAsia="宋体" w:cs="宋体"/>
                <w:sz w:val="20"/>
                <w:highlight w:val="none"/>
              </w:rPr>
            </w:pPr>
            <w:r>
              <w:rPr>
                <w:rFonts w:hint="eastAsia" w:ascii="宋体" w:hAnsi="宋体" w:eastAsia="宋体" w:cs="宋体"/>
                <w:sz w:val="20"/>
                <w:highlight w:val="none"/>
              </w:rPr>
              <w:t>满意度指标</w:t>
            </w:r>
          </w:p>
        </w:tc>
        <w:tc>
          <w:tcPr>
            <w:tcW w:w="2872" w:type="dxa"/>
            <w:tcBorders>
              <w:tl2br w:val="nil"/>
              <w:tr2bl w:val="nil"/>
            </w:tcBorders>
            <w:vAlign w:val="center"/>
          </w:tcPr>
          <w:p>
            <w:pPr>
              <w:widowControl/>
              <w:jc w:val="left"/>
              <w:textAlignment w:val="center"/>
              <w:rPr>
                <w:rFonts w:ascii="宋体" w:hAnsi="宋体" w:eastAsia="宋体" w:cs="宋体"/>
                <w:sz w:val="20"/>
                <w:highlight w:val="none"/>
              </w:rPr>
            </w:pPr>
            <w:r>
              <w:rPr>
                <w:rFonts w:hint="eastAsia" w:ascii="宋体" w:hAnsi="宋体" w:eastAsia="宋体" w:cs="宋体"/>
                <w:color w:val="000000"/>
                <w:kern w:val="0"/>
                <w:sz w:val="20"/>
                <w:szCs w:val="20"/>
                <w:highlight w:val="none"/>
              </w:rPr>
              <w:t>指标1：企业满意度</w:t>
            </w:r>
          </w:p>
        </w:tc>
        <w:tc>
          <w:tcPr>
            <w:tcW w:w="4228" w:type="dxa"/>
            <w:gridSpan w:val="2"/>
            <w:tcBorders>
              <w:tl2br w:val="nil"/>
              <w:tr2bl w:val="nil"/>
            </w:tcBorders>
            <w:vAlign w:val="center"/>
          </w:tcPr>
          <w:p>
            <w:pPr>
              <w:keepNext w:val="0"/>
              <w:keepLines w:val="0"/>
              <w:widowControl/>
              <w:suppressLineNumbers w:val="0"/>
              <w:jc w:val="center"/>
              <w:textAlignment w:val="center"/>
              <w:rPr>
                <w:rFonts w:hint="default" w:ascii="宋体" w:cs="宋体" w:eastAsiaTheme="minorEastAsia"/>
                <w:sz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≥95%</w:t>
            </w:r>
          </w:p>
        </w:tc>
      </w:tr>
    </w:tbl>
    <w:p>
      <w:pPr>
        <w:adjustRightInd w:val="0"/>
        <w:snapToGrid w:val="0"/>
        <w:spacing w:line="580" w:lineRule="exact"/>
        <w:ind w:firstLine="643" w:firstLineChars="200"/>
        <w:rPr>
          <w:rFonts w:ascii="TimesNewRoman" w:hAnsi="TimesNewRoman" w:eastAsia="仿宋_GB2312" w:cs="TimesNewRoman"/>
          <w:b/>
          <w:sz w:val="32"/>
          <w:szCs w:val="32"/>
          <w:highlight w:val="none"/>
        </w:rPr>
      </w:pPr>
      <w:r>
        <w:rPr>
          <w:rFonts w:hint="eastAsia" w:ascii="TimesNewRoman" w:hAnsi="TimesNewRoman" w:eastAsia="仿宋_GB2312" w:cs="TimesNewRoman"/>
          <w:b/>
          <w:sz w:val="32"/>
          <w:szCs w:val="32"/>
          <w:highlight w:val="none"/>
        </w:rPr>
        <w:t>（二）机关运行经费。</w:t>
      </w: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lang w:eastAsia="zh-CN"/>
        </w:rPr>
        <w:t>淮北市商务局</w:t>
      </w:r>
      <w:r>
        <w:rPr>
          <w:rFonts w:hint="eastAsia" w:ascii="TimesNewRoman" w:hAnsi="TimesNewRoman" w:eastAsia="仿宋_GB2312" w:cs="TimesNewRoman"/>
          <w:kern w:val="0"/>
          <w:sz w:val="32"/>
          <w:szCs w:val="32"/>
          <w:highlight w:val="none"/>
        </w:rPr>
        <w:t>2025年机关运行经费财政拨款预算</w:t>
      </w:r>
      <w:r>
        <w:rPr>
          <w:rFonts w:hint="eastAsia" w:ascii="TimesNewRoman" w:hAnsi="TimesNewRoman" w:eastAsia="仿宋_GB2312" w:cs="TimesNewRoman"/>
          <w:kern w:val="0"/>
          <w:sz w:val="32"/>
          <w:szCs w:val="32"/>
          <w:highlight w:val="none"/>
          <w:lang w:val="en-US" w:eastAsia="zh-CN"/>
        </w:rPr>
        <w:t>61.64</w:t>
      </w:r>
      <w:r>
        <w:rPr>
          <w:rFonts w:hint="eastAsia" w:ascii="TimesNewRoman" w:hAnsi="TimesNewRoman" w:eastAsia="仿宋_GB2312" w:cs="TimesNewRoman"/>
          <w:kern w:val="0"/>
          <w:sz w:val="32"/>
          <w:szCs w:val="32"/>
          <w:highlight w:val="none"/>
        </w:rPr>
        <w:t>万元，比2024年预算</w:t>
      </w:r>
      <w:r>
        <w:rPr>
          <w:rFonts w:hint="eastAsia" w:ascii="TimesNewRoman" w:hAnsi="TimesNewRoman" w:eastAsia="仿宋_GB2312" w:cs="TimesNewRoman"/>
          <w:kern w:val="0"/>
          <w:sz w:val="32"/>
          <w:szCs w:val="32"/>
          <w:highlight w:val="none"/>
          <w:lang w:val="en-US" w:eastAsia="zh-CN"/>
        </w:rPr>
        <w:t>减少0.5</w:t>
      </w:r>
      <w:r>
        <w:rPr>
          <w:rFonts w:hint="eastAsia" w:ascii="TimesNewRoman" w:hAnsi="TimesNewRoman" w:eastAsia="仿宋_GB2312" w:cs="TimesNewRoman"/>
          <w:kern w:val="0"/>
          <w:sz w:val="32"/>
          <w:szCs w:val="32"/>
          <w:highlight w:val="none"/>
        </w:rPr>
        <w:t>万元，下降</w:t>
      </w:r>
      <w:r>
        <w:rPr>
          <w:rFonts w:hint="eastAsia" w:ascii="TimesNewRoman" w:hAnsi="TimesNewRoman" w:eastAsia="仿宋_GB2312" w:cs="TimesNewRoman"/>
          <w:kern w:val="0"/>
          <w:sz w:val="32"/>
          <w:szCs w:val="32"/>
          <w:highlight w:val="none"/>
          <w:lang w:val="en-US" w:eastAsia="zh-CN"/>
        </w:rPr>
        <w:t>0.8</w:t>
      </w:r>
      <w:r>
        <w:rPr>
          <w:rFonts w:hint="eastAsia" w:ascii="TimesNewRoman" w:hAnsi="TimesNewRoman" w:eastAsia="仿宋_GB2312" w:cs="TimesNewRoman"/>
          <w:kern w:val="0"/>
          <w:sz w:val="32"/>
          <w:szCs w:val="32"/>
          <w:highlight w:val="none"/>
        </w:rPr>
        <w:t>%，原因主要是</w:t>
      </w:r>
      <w:r>
        <w:rPr>
          <w:rFonts w:hint="eastAsia" w:ascii="TimesNewRoman" w:hAnsi="TimesNewRoman" w:eastAsia="仿宋_GB2312" w:cs="TimesNewRoman"/>
          <w:kern w:val="0"/>
          <w:sz w:val="32"/>
          <w:szCs w:val="32"/>
          <w:highlight w:val="none"/>
          <w:lang w:val="en-US" w:eastAsia="zh-CN"/>
        </w:rPr>
        <w:t>在职人员减少</w:t>
      </w:r>
      <w:r>
        <w:rPr>
          <w:rFonts w:hint="eastAsia" w:ascii="TimesNewRoman" w:hAnsi="TimesNewRoman" w:eastAsia="仿宋_GB2312" w:cs="TimesNewRoman"/>
          <w:kern w:val="0"/>
          <w:sz w:val="32"/>
          <w:szCs w:val="32"/>
          <w:highlight w:val="none"/>
        </w:rPr>
        <w:t>。</w:t>
      </w:r>
    </w:p>
    <w:p>
      <w:pPr>
        <w:adjustRightInd w:val="0"/>
        <w:snapToGrid w:val="0"/>
        <w:spacing w:line="580" w:lineRule="exact"/>
        <w:ind w:firstLine="643" w:firstLineChars="200"/>
        <w:rPr>
          <w:rFonts w:ascii="TimesNewRoman" w:hAnsi="TimesNewRoman" w:eastAsia="仿宋_GB2312" w:cs="TimesNewRoman"/>
          <w:b/>
          <w:sz w:val="32"/>
          <w:szCs w:val="32"/>
          <w:highlight w:val="none"/>
        </w:rPr>
      </w:pPr>
      <w:r>
        <w:rPr>
          <w:rFonts w:hint="eastAsia" w:ascii="TimesNewRoman" w:hAnsi="TimesNewRoman" w:eastAsia="仿宋_GB2312" w:cs="TimesNewRoman"/>
          <w:b/>
          <w:sz w:val="32"/>
          <w:szCs w:val="32"/>
          <w:highlight w:val="none"/>
        </w:rPr>
        <w:t>（三）政府采购情况。</w:t>
      </w: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lang w:eastAsia="zh-CN"/>
        </w:rPr>
        <w:t>淮北市商务局</w:t>
      </w:r>
      <w:r>
        <w:rPr>
          <w:rFonts w:hint="eastAsia" w:ascii="TimesNewRoman" w:hAnsi="TimesNewRoman" w:eastAsia="仿宋_GB2312" w:cs="TimesNewRoman"/>
          <w:kern w:val="0"/>
          <w:sz w:val="32"/>
          <w:szCs w:val="32"/>
          <w:highlight w:val="none"/>
        </w:rPr>
        <w:t>2025年政府采购预算</w:t>
      </w:r>
      <w:r>
        <w:rPr>
          <w:rFonts w:hint="eastAsia" w:ascii="TimesNewRoman" w:hAnsi="TimesNewRoman" w:eastAsia="仿宋_GB2312" w:cs="TimesNewRoman"/>
          <w:kern w:val="0"/>
          <w:sz w:val="32"/>
          <w:szCs w:val="32"/>
          <w:highlight w:val="none"/>
          <w:lang w:val="en-US" w:eastAsia="zh-CN"/>
        </w:rPr>
        <w:t>0.52</w:t>
      </w:r>
      <w:r>
        <w:rPr>
          <w:rFonts w:hint="eastAsia" w:ascii="TimesNewRoman" w:hAnsi="TimesNewRoman" w:eastAsia="仿宋_GB2312" w:cs="TimesNewRoman"/>
          <w:kern w:val="0"/>
          <w:sz w:val="32"/>
          <w:szCs w:val="32"/>
          <w:highlight w:val="none"/>
        </w:rPr>
        <w:t>万元。其中：政府采购货物预算</w:t>
      </w:r>
      <w:r>
        <w:rPr>
          <w:rFonts w:hint="eastAsia" w:ascii="TimesNewRoman" w:hAnsi="TimesNewRoman" w:eastAsia="仿宋_GB2312" w:cs="TimesNewRoman"/>
          <w:kern w:val="0"/>
          <w:sz w:val="32"/>
          <w:szCs w:val="32"/>
          <w:highlight w:val="none"/>
          <w:lang w:val="en-US" w:eastAsia="zh-CN"/>
        </w:rPr>
        <w:t>0.52</w:t>
      </w:r>
      <w:r>
        <w:rPr>
          <w:rFonts w:hint="eastAsia" w:ascii="TimesNewRoman" w:hAnsi="TimesNewRoman" w:eastAsia="仿宋_GB2312" w:cs="TimesNewRoman"/>
          <w:kern w:val="0"/>
          <w:sz w:val="32"/>
          <w:szCs w:val="32"/>
          <w:highlight w:val="none"/>
        </w:rPr>
        <w:t>万元，政府采购工程预算</w:t>
      </w:r>
      <w:r>
        <w:rPr>
          <w:rFonts w:hint="eastAsia" w:ascii="TimesNewRoman" w:hAnsi="TimesNewRoman" w:eastAsia="仿宋_GB2312" w:cs="TimesNewRoman"/>
          <w:kern w:val="0"/>
          <w:sz w:val="32"/>
          <w:szCs w:val="32"/>
          <w:highlight w:val="none"/>
          <w:lang w:val="en-US" w:eastAsia="zh-CN"/>
        </w:rPr>
        <w:t>0</w:t>
      </w:r>
      <w:r>
        <w:rPr>
          <w:rFonts w:hint="eastAsia" w:ascii="TimesNewRoman" w:hAnsi="TimesNewRoman" w:eastAsia="仿宋_GB2312" w:cs="TimesNewRoman"/>
          <w:kern w:val="0"/>
          <w:sz w:val="32"/>
          <w:szCs w:val="32"/>
          <w:highlight w:val="none"/>
        </w:rPr>
        <w:t>万元，政府采购服务预算</w:t>
      </w:r>
      <w:r>
        <w:rPr>
          <w:rFonts w:hint="eastAsia" w:ascii="TimesNewRoman" w:hAnsi="TimesNewRoman" w:eastAsia="仿宋_GB2312" w:cs="TimesNewRoman"/>
          <w:kern w:val="0"/>
          <w:sz w:val="32"/>
          <w:szCs w:val="32"/>
          <w:highlight w:val="none"/>
          <w:lang w:val="en-US" w:eastAsia="zh-CN"/>
        </w:rPr>
        <w:t>0</w:t>
      </w:r>
      <w:r>
        <w:rPr>
          <w:rFonts w:hint="eastAsia" w:ascii="TimesNewRoman" w:hAnsi="TimesNewRoman" w:eastAsia="仿宋_GB2312" w:cs="TimesNewRoman"/>
          <w:kern w:val="0"/>
          <w:sz w:val="32"/>
          <w:szCs w:val="32"/>
          <w:highlight w:val="none"/>
        </w:rPr>
        <w:t>万元。</w:t>
      </w:r>
    </w:p>
    <w:p>
      <w:pPr>
        <w:adjustRightInd w:val="0"/>
        <w:snapToGrid w:val="0"/>
        <w:spacing w:line="580" w:lineRule="exact"/>
        <w:ind w:firstLine="643" w:firstLineChars="200"/>
        <w:rPr>
          <w:rFonts w:ascii="TimesNewRoman" w:hAnsi="TimesNewRoman" w:eastAsia="仿宋_GB2312" w:cs="TimesNewRoman"/>
          <w:b/>
          <w:sz w:val="32"/>
          <w:szCs w:val="32"/>
          <w:highlight w:val="none"/>
        </w:rPr>
      </w:pPr>
      <w:r>
        <w:rPr>
          <w:rFonts w:hint="eastAsia" w:ascii="TimesNewRoman" w:hAnsi="TimesNewRoman" w:eastAsia="仿宋_GB2312" w:cs="TimesNewRoman"/>
          <w:b/>
          <w:sz w:val="32"/>
          <w:szCs w:val="32"/>
          <w:highlight w:val="none"/>
        </w:rPr>
        <w:t>（四）国有资产占有使用情况。</w:t>
      </w: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rPr>
        <w:t>截至2024年12月31日，</w:t>
      </w:r>
      <w:r>
        <w:rPr>
          <w:rFonts w:hint="eastAsia" w:ascii="TimesNewRoman" w:hAnsi="TimesNewRoman" w:eastAsia="仿宋_GB2312" w:cs="TimesNewRoman"/>
          <w:kern w:val="0"/>
          <w:sz w:val="32"/>
          <w:szCs w:val="32"/>
          <w:highlight w:val="none"/>
          <w:lang w:eastAsia="zh-CN"/>
        </w:rPr>
        <w:t>淮北市商务局</w:t>
      </w:r>
      <w:r>
        <w:rPr>
          <w:rFonts w:hint="eastAsia" w:ascii="TimesNewRoman" w:hAnsi="TimesNewRoman" w:eastAsia="仿宋_GB2312" w:cs="TimesNewRoman"/>
          <w:kern w:val="0"/>
          <w:sz w:val="32"/>
          <w:szCs w:val="32"/>
          <w:highlight w:val="none"/>
        </w:rPr>
        <w:t>共有车辆</w:t>
      </w:r>
      <w:r>
        <w:rPr>
          <w:rFonts w:hint="eastAsia" w:ascii="TimesNewRoman" w:hAnsi="TimesNewRoman" w:eastAsia="仿宋_GB2312" w:cs="TimesNewRoman"/>
          <w:kern w:val="0"/>
          <w:sz w:val="32"/>
          <w:szCs w:val="32"/>
          <w:highlight w:val="none"/>
          <w:lang w:val="en-US" w:eastAsia="zh-CN"/>
        </w:rPr>
        <w:t>1</w:t>
      </w:r>
      <w:r>
        <w:rPr>
          <w:rFonts w:hint="eastAsia" w:ascii="TimesNewRoman" w:hAnsi="TimesNewRoman" w:eastAsia="仿宋_GB2312" w:cs="TimesNewRoman"/>
          <w:kern w:val="0"/>
          <w:sz w:val="32"/>
          <w:szCs w:val="32"/>
          <w:highlight w:val="none"/>
        </w:rPr>
        <w:t>辆，其中：其他用车</w:t>
      </w:r>
      <w:r>
        <w:rPr>
          <w:rFonts w:hint="eastAsia" w:ascii="TimesNewRoman" w:hAnsi="TimesNewRoman" w:eastAsia="仿宋_GB2312" w:cs="TimesNewRoman"/>
          <w:kern w:val="0"/>
          <w:sz w:val="32"/>
          <w:szCs w:val="32"/>
          <w:highlight w:val="none"/>
          <w:lang w:val="en-US" w:eastAsia="zh-CN"/>
        </w:rPr>
        <w:t>1</w:t>
      </w:r>
      <w:r>
        <w:rPr>
          <w:rFonts w:hint="eastAsia" w:ascii="TimesNewRoman" w:hAnsi="TimesNewRoman" w:eastAsia="仿宋_GB2312" w:cs="TimesNewRoman"/>
          <w:kern w:val="0"/>
          <w:sz w:val="32"/>
          <w:szCs w:val="32"/>
          <w:highlight w:val="none"/>
        </w:rPr>
        <w:t>辆。单价50万元以上的通用设备</w:t>
      </w:r>
      <w:r>
        <w:rPr>
          <w:rFonts w:hint="eastAsia" w:ascii="TimesNewRoman" w:hAnsi="TimesNewRoman" w:eastAsia="仿宋_GB2312" w:cs="TimesNewRoman"/>
          <w:kern w:val="0"/>
          <w:sz w:val="32"/>
          <w:szCs w:val="32"/>
          <w:highlight w:val="none"/>
          <w:lang w:val="en-US" w:eastAsia="zh-CN"/>
        </w:rPr>
        <w:t>0</w:t>
      </w:r>
      <w:r>
        <w:rPr>
          <w:rFonts w:hint="eastAsia" w:ascii="TimesNewRoman" w:hAnsi="TimesNewRoman" w:eastAsia="仿宋_GB2312" w:cs="TimesNewRoman"/>
          <w:kern w:val="0"/>
          <w:sz w:val="32"/>
          <w:szCs w:val="32"/>
          <w:highlight w:val="none"/>
        </w:rPr>
        <w:t>台（套），单价100万元以上的专用设备</w:t>
      </w:r>
      <w:r>
        <w:rPr>
          <w:rFonts w:hint="eastAsia" w:ascii="TimesNewRoman" w:hAnsi="TimesNewRoman" w:eastAsia="仿宋_GB2312" w:cs="TimesNewRoman"/>
          <w:kern w:val="0"/>
          <w:sz w:val="32"/>
          <w:szCs w:val="32"/>
          <w:highlight w:val="none"/>
          <w:lang w:val="en-US" w:eastAsia="zh-CN"/>
        </w:rPr>
        <w:t>0</w:t>
      </w:r>
      <w:r>
        <w:rPr>
          <w:rFonts w:hint="eastAsia" w:ascii="TimesNewRoman" w:hAnsi="TimesNewRoman" w:eastAsia="仿宋_GB2312" w:cs="TimesNewRoman"/>
          <w:kern w:val="0"/>
          <w:sz w:val="32"/>
          <w:szCs w:val="32"/>
          <w:highlight w:val="none"/>
        </w:rPr>
        <w:t>台（套）。</w:t>
      </w: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rPr>
        <w:t>2025年部门（单位）预算安排购置公务用车</w:t>
      </w:r>
      <w:r>
        <w:rPr>
          <w:rFonts w:hint="eastAsia" w:ascii="TimesNewRoman" w:hAnsi="TimesNewRoman" w:eastAsia="仿宋_GB2312" w:cs="TimesNewRoman"/>
          <w:kern w:val="0"/>
          <w:sz w:val="32"/>
          <w:szCs w:val="32"/>
          <w:highlight w:val="none"/>
          <w:lang w:val="en-US" w:eastAsia="zh-CN"/>
        </w:rPr>
        <w:t>0</w:t>
      </w:r>
      <w:r>
        <w:rPr>
          <w:rFonts w:hint="eastAsia" w:ascii="TimesNewRoman" w:hAnsi="TimesNewRoman" w:eastAsia="仿宋_GB2312" w:cs="TimesNewRoman"/>
          <w:kern w:val="0"/>
          <w:sz w:val="32"/>
          <w:szCs w:val="32"/>
          <w:highlight w:val="none"/>
        </w:rPr>
        <w:t>辆，购置费</w:t>
      </w:r>
      <w:r>
        <w:rPr>
          <w:rFonts w:hint="eastAsia" w:ascii="TimesNewRoman" w:hAnsi="TimesNewRoman" w:eastAsia="仿宋_GB2312" w:cs="TimesNewRoman"/>
          <w:kern w:val="0"/>
          <w:sz w:val="32"/>
          <w:szCs w:val="32"/>
          <w:highlight w:val="none"/>
          <w:lang w:val="en-US" w:eastAsia="zh-CN"/>
        </w:rPr>
        <w:t>0</w:t>
      </w:r>
      <w:r>
        <w:rPr>
          <w:rFonts w:hint="eastAsia" w:ascii="TimesNewRoman" w:hAnsi="TimesNewRoman" w:eastAsia="仿宋_GB2312" w:cs="TimesNewRoman"/>
          <w:kern w:val="0"/>
          <w:sz w:val="32"/>
          <w:szCs w:val="32"/>
          <w:highlight w:val="none"/>
        </w:rPr>
        <w:t>万元；安排购置单价50万元以上的通用设备</w:t>
      </w:r>
      <w:r>
        <w:rPr>
          <w:rFonts w:hint="eastAsia" w:ascii="TimesNewRoman" w:hAnsi="TimesNewRoman" w:eastAsia="仿宋_GB2312" w:cs="TimesNewRoman"/>
          <w:kern w:val="0"/>
          <w:sz w:val="32"/>
          <w:szCs w:val="32"/>
          <w:highlight w:val="none"/>
          <w:lang w:val="en-US" w:eastAsia="zh-CN"/>
        </w:rPr>
        <w:t>0</w:t>
      </w:r>
      <w:r>
        <w:rPr>
          <w:rFonts w:hint="eastAsia" w:ascii="TimesNewRoman" w:hAnsi="TimesNewRoman" w:eastAsia="仿宋_GB2312" w:cs="TimesNewRoman"/>
          <w:kern w:val="0"/>
          <w:sz w:val="32"/>
          <w:szCs w:val="32"/>
          <w:highlight w:val="none"/>
        </w:rPr>
        <w:t>台（套），购置费</w:t>
      </w:r>
      <w:r>
        <w:rPr>
          <w:rFonts w:hint="eastAsia" w:ascii="TimesNewRoman" w:hAnsi="TimesNewRoman" w:eastAsia="仿宋_GB2312" w:cs="TimesNewRoman"/>
          <w:kern w:val="0"/>
          <w:sz w:val="32"/>
          <w:szCs w:val="32"/>
          <w:highlight w:val="none"/>
          <w:lang w:val="en-US" w:eastAsia="zh-CN"/>
        </w:rPr>
        <w:t>0</w:t>
      </w:r>
      <w:r>
        <w:rPr>
          <w:rFonts w:hint="eastAsia" w:ascii="TimesNewRoman" w:hAnsi="TimesNewRoman" w:eastAsia="仿宋_GB2312" w:cs="TimesNewRoman"/>
          <w:kern w:val="0"/>
          <w:sz w:val="32"/>
          <w:szCs w:val="32"/>
          <w:highlight w:val="none"/>
        </w:rPr>
        <w:t>万元；安排购置单价100万元以上专用设备</w:t>
      </w:r>
      <w:r>
        <w:rPr>
          <w:rFonts w:hint="eastAsia" w:ascii="TimesNewRoman" w:hAnsi="TimesNewRoman" w:eastAsia="仿宋_GB2312" w:cs="TimesNewRoman"/>
          <w:kern w:val="0"/>
          <w:sz w:val="32"/>
          <w:szCs w:val="32"/>
          <w:highlight w:val="none"/>
          <w:lang w:val="en-US" w:eastAsia="zh-CN"/>
        </w:rPr>
        <w:t>0</w:t>
      </w:r>
      <w:r>
        <w:rPr>
          <w:rFonts w:hint="eastAsia" w:ascii="TimesNewRoman" w:hAnsi="TimesNewRoman" w:eastAsia="仿宋_GB2312" w:cs="TimesNewRoman"/>
          <w:kern w:val="0"/>
          <w:sz w:val="32"/>
          <w:szCs w:val="32"/>
          <w:highlight w:val="none"/>
        </w:rPr>
        <w:t>台（套），购置费</w:t>
      </w:r>
      <w:r>
        <w:rPr>
          <w:rFonts w:hint="eastAsia" w:ascii="TimesNewRoman" w:hAnsi="TimesNewRoman" w:eastAsia="仿宋_GB2312" w:cs="TimesNewRoman"/>
          <w:kern w:val="0"/>
          <w:sz w:val="32"/>
          <w:szCs w:val="32"/>
          <w:highlight w:val="none"/>
          <w:lang w:val="en-US" w:eastAsia="zh-CN"/>
        </w:rPr>
        <w:t>0</w:t>
      </w:r>
      <w:r>
        <w:rPr>
          <w:rFonts w:hint="eastAsia" w:ascii="TimesNewRoman" w:hAnsi="TimesNewRoman" w:eastAsia="仿宋_GB2312" w:cs="TimesNewRoman"/>
          <w:kern w:val="0"/>
          <w:sz w:val="32"/>
          <w:szCs w:val="32"/>
          <w:highlight w:val="none"/>
        </w:rPr>
        <w:t>万元。</w:t>
      </w:r>
    </w:p>
    <w:p>
      <w:pPr>
        <w:adjustRightInd w:val="0"/>
        <w:snapToGrid w:val="0"/>
        <w:spacing w:line="580" w:lineRule="exact"/>
        <w:ind w:firstLine="643" w:firstLineChars="200"/>
        <w:rPr>
          <w:rFonts w:ascii="TimesNewRoman" w:hAnsi="TimesNewRoman" w:eastAsia="仿宋_GB2312" w:cs="TimesNewRoman"/>
          <w:b/>
          <w:sz w:val="32"/>
          <w:szCs w:val="32"/>
          <w:highlight w:val="none"/>
        </w:rPr>
      </w:pPr>
      <w:r>
        <w:rPr>
          <w:rFonts w:hint="eastAsia" w:ascii="TimesNewRoman" w:hAnsi="TimesNewRoman" w:eastAsia="仿宋_GB2312" w:cs="TimesNewRoman"/>
          <w:b/>
          <w:sz w:val="32"/>
          <w:szCs w:val="32"/>
          <w:highlight w:val="none"/>
        </w:rPr>
        <w:t>（五）绩效目标设置情况。</w:t>
      </w:r>
    </w:p>
    <w:p>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rPr>
        <w:t>2025年，</w:t>
      </w:r>
      <w:r>
        <w:rPr>
          <w:rFonts w:hint="eastAsia" w:ascii="TimesNewRoman" w:hAnsi="TimesNewRoman" w:eastAsia="仿宋_GB2312" w:cs="TimesNewRoman"/>
          <w:kern w:val="0"/>
          <w:sz w:val="32"/>
          <w:szCs w:val="32"/>
          <w:highlight w:val="none"/>
          <w:lang w:eastAsia="zh-CN"/>
        </w:rPr>
        <w:t>淮北市商务局</w:t>
      </w:r>
      <w:r>
        <w:rPr>
          <w:rFonts w:hint="eastAsia" w:ascii="TimesNewRoman" w:hAnsi="TimesNewRoman" w:eastAsia="仿宋_GB2312" w:cs="TimesNewRoman"/>
          <w:kern w:val="0"/>
          <w:sz w:val="32"/>
          <w:szCs w:val="32"/>
          <w:highlight w:val="none"/>
          <w:lang w:val="en-US" w:eastAsia="zh-CN"/>
        </w:rPr>
        <w:t>5</w:t>
      </w:r>
      <w:r>
        <w:rPr>
          <w:rFonts w:hint="eastAsia" w:ascii="TimesNewRoman" w:hAnsi="TimesNewRoman" w:eastAsia="仿宋_GB2312" w:cs="TimesNewRoman"/>
          <w:kern w:val="0"/>
          <w:sz w:val="32"/>
          <w:szCs w:val="32"/>
          <w:highlight w:val="none"/>
        </w:rPr>
        <w:t>个项目实行了绩效目标管理，涉及一般公共预算当年财政拨款</w:t>
      </w:r>
      <w:r>
        <w:rPr>
          <w:rFonts w:hint="eastAsia" w:ascii="TimesNewRoman" w:hAnsi="TimesNewRoman" w:eastAsia="仿宋_GB2312" w:cs="TimesNewRoman"/>
          <w:kern w:val="0"/>
          <w:sz w:val="32"/>
          <w:szCs w:val="32"/>
          <w:highlight w:val="none"/>
          <w:lang w:val="en-US" w:eastAsia="zh-CN"/>
        </w:rPr>
        <w:t>330</w:t>
      </w:r>
      <w:r>
        <w:rPr>
          <w:rFonts w:hint="eastAsia" w:ascii="TimesNewRoman" w:hAnsi="TimesNewRoman" w:eastAsia="仿宋_GB2312" w:cs="TimesNewRoman"/>
          <w:kern w:val="0"/>
          <w:sz w:val="32"/>
          <w:szCs w:val="32"/>
          <w:highlight w:val="none"/>
        </w:rPr>
        <w:t>万元、政府性基金预算当年财政拨款</w:t>
      </w:r>
      <w:r>
        <w:rPr>
          <w:rFonts w:hint="eastAsia" w:ascii="TimesNewRoman" w:hAnsi="TimesNewRoman" w:eastAsia="仿宋_GB2312" w:cs="TimesNewRoman"/>
          <w:kern w:val="0"/>
          <w:sz w:val="32"/>
          <w:szCs w:val="32"/>
          <w:highlight w:val="none"/>
          <w:lang w:val="en-US" w:eastAsia="zh-CN"/>
        </w:rPr>
        <w:t>0</w:t>
      </w:r>
      <w:r>
        <w:rPr>
          <w:rFonts w:hint="eastAsia" w:ascii="TimesNewRoman" w:hAnsi="TimesNewRoman" w:eastAsia="仿宋_GB2312" w:cs="TimesNewRoman"/>
          <w:kern w:val="0"/>
          <w:sz w:val="32"/>
          <w:szCs w:val="32"/>
          <w:highlight w:val="none"/>
        </w:rPr>
        <w:t>万元、财政专户管理资金当年安排</w:t>
      </w:r>
      <w:r>
        <w:rPr>
          <w:rFonts w:hint="eastAsia" w:ascii="TimesNewRoman" w:hAnsi="TimesNewRoman" w:eastAsia="仿宋_GB2312" w:cs="TimesNewRoman"/>
          <w:kern w:val="0"/>
          <w:sz w:val="32"/>
          <w:szCs w:val="32"/>
          <w:highlight w:val="none"/>
          <w:lang w:val="en-US" w:eastAsia="zh-CN"/>
        </w:rPr>
        <w:t>0</w:t>
      </w:r>
      <w:r>
        <w:rPr>
          <w:rFonts w:hint="eastAsia" w:ascii="TimesNewRoman" w:hAnsi="TimesNewRoman" w:eastAsia="仿宋_GB2312" w:cs="TimesNewRoman"/>
          <w:kern w:val="0"/>
          <w:sz w:val="32"/>
          <w:szCs w:val="32"/>
          <w:highlight w:val="none"/>
        </w:rPr>
        <w:t>万元。</w:t>
      </w:r>
    </w:p>
    <w:p>
      <w:pPr>
        <w:pStyle w:val="7"/>
        <w:adjustRightInd w:val="0"/>
        <w:snapToGrid w:val="0"/>
        <w:spacing w:line="560" w:lineRule="exact"/>
        <w:jc w:val="center"/>
        <w:rPr>
          <w:rFonts w:ascii="TimesNewRoman" w:hAnsi="TimesNewRoman" w:eastAsia="黑体" w:cs="TimesNewRoman"/>
          <w:bCs/>
          <w:sz w:val="36"/>
          <w:szCs w:val="36"/>
          <w:highlight w:val="none"/>
        </w:rPr>
      </w:pPr>
    </w:p>
    <w:p>
      <w:pPr>
        <w:pStyle w:val="7"/>
        <w:adjustRightInd w:val="0"/>
        <w:snapToGrid w:val="0"/>
        <w:spacing w:line="560" w:lineRule="exact"/>
        <w:jc w:val="center"/>
        <w:rPr>
          <w:rFonts w:ascii="TimesNewRoman" w:hAnsi="TimesNewRoman" w:eastAsia="黑体" w:cs="TimesNewRoman"/>
          <w:bCs/>
          <w:sz w:val="36"/>
          <w:szCs w:val="36"/>
          <w:highlight w:val="none"/>
        </w:rPr>
      </w:pPr>
      <w:r>
        <w:rPr>
          <w:rFonts w:hint="eastAsia" w:ascii="TimesNewRoman" w:hAnsi="TimesNewRoman" w:eastAsia="黑体" w:cs="TimesNewRoman"/>
          <w:bCs/>
          <w:sz w:val="36"/>
          <w:szCs w:val="36"/>
          <w:highlight w:val="none"/>
        </w:rPr>
        <w:t>第四部分 名词解释</w:t>
      </w:r>
    </w:p>
    <w:p>
      <w:pPr>
        <w:rPr>
          <w:highlight w:val="none"/>
        </w:rPr>
      </w:pPr>
    </w:p>
    <w:p>
      <w:pPr>
        <w:pStyle w:val="7"/>
        <w:adjustRightInd w:val="0"/>
        <w:snapToGrid w:val="0"/>
        <w:spacing w:line="560" w:lineRule="exact"/>
        <w:ind w:firstLine="630" w:firstLineChars="196"/>
        <w:rPr>
          <w:rFonts w:ascii="TimesNewRoman" w:hAnsi="TimesNewRoman" w:eastAsia="仿宋_GB2312" w:cs="TimesNewRoman"/>
          <w:sz w:val="32"/>
          <w:szCs w:val="32"/>
          <w:highlight w:val="none"/>
        </w:rPr>
      </w:pPr>
      <w:r>
        <w:rPr>
          <w:rFonts w:hint="eastAsia" w:ascii="TimesNewRoman" w:hAnsi="TimesNewRoman" w:eastAsia="仿宋_GB2312" w:cs="TimesNewRoman"/>
          <w:b/>
          <w:sz w:val="32"/>
          <w:szCs w:val="32"/>
          <w:highlight w:val="none"/>
        </w:rPr>
        <w:t>一、财政拨款收入：</w:t>
      </w:r>
      <w:r>
        <w:rPr>
          <w:rFonts w:hint="eastAsia" w:ascii="TimesNewRoman" w:hAnsi="TimesNewRoman" w:eastAsia="仿宋_GB2312" w:cs="TimesNewRoman"/>
          <w:sz w:val="32"/>
          <w:szCs w:val="32"/>
          <w:highlight w:val="none"/>
        </w:rPr>
        <w:t>指部门或单位从同级财政部门取得的财政预算资金。</w:t>
      </w:r>
    </w:p>
    <w:p>
      <w:pPr>
        <w:pStyle w:val="7"/>
        <w:adjustRightInd w:val="0"/>
        <w:snapToGrid w:val="0"/>
        <w:spacing w:line="560" w:lineRule="exact"/>
        <w:ind w:firstLine="630" w:firstLineChars="196"/>
        <w:rPr>
          <w:rFonts w:ascii="TimesNewRoman" w:hAnsi="TimesNewRoman" w:eastAsia="仿宋_GB2312" w:cs="TimesNewRoman"/>
          <w:sz w:val="32"/>
          <w:szCs w:val="32"/>
          <w:highlight w:val="none"/>
        </w:rPr>
      </w:pPr>
      <w:r>
        <w:rPr>
          <w:rFonts w:hint="eastAsia" w:ascii="TimesNewRoman" w:hAnsi="TimesNewRoman" w:eastAsia="仿宋_GB2312" w:cs="TimesNewRoman"/>
          <w:b/>
          <w:sz w:val="32"/>
          <w:szCs w:val="32"/>
          <w:highlight w:val="none"/>
        </w:rPr>
        <w:t>二、事业收入：</w:t>
      </w:r>
      <w:r>
        <w:rPr>
          <w:rFonts w:hint="eastAsia" w:ascii="TimesNewRoman" w:hAnsi="TimesNewRoman" w:eastAsia="仿宋_GB2312" w:cs="TimesNewRoman"/>
          <w:sz w:val="32"/>
          <w:szCs w:val="32"/>
          <w:highlight w:val="none"/>
        </w:rPr>
        <w:t>指事业单位开展专业业务活动及辅助活动所取得的收入。</w:t>
      </w:r>
    </w:p>
    <w:p>
      <w:pPr>
        <w:pStyle w:val="7"/>
        <w:adjustRightInd w:val="0"/>
        <w:snapToGrid w:val="0"/>
        <w:spacing w:line="560" w:lineRule="exact"/>
        <w:ind w:firstLine="630" w:firstLineChars="196"/>
        <w:rPr>
          <w:rFonts w:ascii="TimesNewRoman" w:hAnsi="TimesNewRoman" w:eastAsia="仿宋_GB2312" w:cs="TimesNewRoman"/>
          <w:sz w:val="32"/>
          <w:szCs w:val="32"/>
          <w:highlight w:val="none"/>
        </w:rPr>
      </w:pPr>
      <w:r>
        <w:rPr>
          <w:rFonts w:hint="eastAsia" w:ascii="TimesNewRoman" w:hAnsi="TimesNewRoman" w:eastAsia="仿宋_GB2312" w:cs="TimesNewRoman"/>
          <w:b/>
          <w:sz w:val="32"/>
          <w:szCs w:val="32"/>
          <w:highlight w:val="none"/>
        </w:rPr>
        <w:t>三、财政专户管理资金：</w:t>
      </w:r>
      <w:r>
        <w:rPr>
          <w:rFonts w:hint="eastAsia" w:ascii="TimesNewRoman" w:hAnsi="TimesNewRoman" w:eastAsia="仿宋_GB2312" w:cs="TimesNewRoman"/>
          <w:sz w:val="32"/>
          <w:szCs w:val="32"/>
          <w:highlight w:val="none"/>
        </w:rPr>
        <w:t>指按照非税收入管理相关规定，纳入财政专户管理的教育收费等。</w:t>
      </w:r>
    </w:p>
    <w:p>
      <w:pPr>
        <w:pStyle w:val="7"/>
        <w:adjustRightInd w:val="0"/>
        <w:snapToGrid w:val="0"/>
        <w:spacing w:line="560" w:lineRule="exact"/>
        <w:ind w:firstLine="630" w:firstLineChars="196"/>
        <w:rPr>
          <w:rFonts w:ascii="TimesNewRoman" w:hAnsi="TimesNewRoman" w:eastAsia="仿宋_GB2312" w:cs="TimesNewRoman"/>
          <w:sz w:val="32"/>
          <w:szCs w:val="32"/>
          <w:highlight w:val="none"/>
        </w:rPr>
      </w:pPr>
      <w:r>
        <w:rPr>
          <w:rFonts w:hint="eastAsia" w:ascii="TimesNewRoman" w:hAnsi="TimesNewRoman" w:eastAsia="仿宋_GB2312" w:cs="TimesNewRoman"/>
          <w:b/>
          <w:sz w:val="32"/>
          <w:szCs w:val="32"/>
          <w:highlight w:val="none"/>
        </w:rPr>
        <w:t>四、事业单位经营收入：</w:t>
      </w:r>
      <w:r>
        <w:rPr>
          <w:rFonts w:hint="eastAsia" w:ascii="TimesNewRoman" w:hAnsi="TimesNewRoman" w:eastAsia="仿宋_GB2312" w:cs="TimesNewRoman"/>
          <w:sz w:val="32"/>
          <w:szCs w:val="32"/>
          <w:highlight w:val="none"/>
        </w:rPr>
        <w:t>指事业单位在专业业务活动及其辅助活动之外开展非独立核算经营活动取得的收入。</w:t>
      </w:r>
    </w:p>
    <w:p>
      <w:pPr>
        <w:pStyle w:val="7"/>
        <w:adjustRightInd w:val="0"/>
        <w:snapToGrid w:val="0"/>
        <w:spacing w:line="560" w:lineRule="exact"/>
        <w:ind w:firstLine="630" w:firstLineChars="196"/>
        <w:rPr>
          <w:rFonts w:ascii="TimesNewRoman" w:hAnsi="TimesNewRoman" w:eastAsia="仿宋_GB2312" w:cs="TimesNewRoman"/>
          <w:sz w:val="32"/>
          <w:szCs w:val="32"/>
          <w:highlight w:val="none"/>
        </w:rPr>
      </w:pPr>
      <w:r>
        <w:rPr>
          <w:rFonts w:hint="eastAsia" w:ascii="TimesNewRoman" w:hAnsi="TimesNewRoman" w:eastAsia="仿宋_GB2312" w:cs="TimesNewRoman"/>
          <w:b/>
          <w:sz w:val="32"/>
          <w:szCs w:val="32"/>
          <w:highlight w:val="none"/>
        </w:rPr>
        <w:t>五、附属单位上缴收入：</w:t>
      </w:r>
      <w:r>
        <w:rPr>
          <w:rFonts w:hint="eastAsia" w:ascii="TimesNewRoman" w:hAnsi="TimesNewRoman" w:eastAsia="仿宋_GB2312" w:cs="TimesNewRoman"/>
          <w:sz w:val="32"/>
          <w:szCs w:val="32"/>
          <w:highlight w:val="none"/>
        </w:rPr>
        <w:t>本单位所属下级单位上缴给本单位的全部收入。</w:t>
      </w:r>
    </w:p>
    <w:p>
      <w:pPr>
        <w:pStyle w:val="7"/>
        <w:adjustRightInd w:val="0"/>
        <w:snapToGrid w:val="0"/>
        <w:spacing w:line="560" w:lineRule="exact"/>
        <w:ind w:firstLine="630" w:firstLineChars="196"/>
        <w:rPr>
          <w:rFonts w:ascii="TimesNewRoman" w:hAnsi="TimesNewRoman" w:eastAsia="仿宋_GB2312" w:cs="TimesNewRoman"/>
          <w:sz w:val="32"/>
          <w:szCs w:val="32"/>
          <w:highlight w:val="none"/>
        </w:rPr>
      </w:pPr>
      <w:r>
        <w:rPr>
          <w:rFonts w:hint="eastAsia" w:ascii="TimesNewRoman" w:hAnsi="TimesNewRoman" w:eastAsia="仿宋_GB2312" w:cs="TimesNewRoman"/>
          <w:b/>
          <w:sz w:val="32"/>
          <w:szCs w:val="32"/>
          <w:highlight w:val="none"/>
        </w:rPr>
        <w:t>六、上年结转：</w:t>
      </w:r>
      <w:r>
        <w:rPr>
          <w:rFonts w:hint="eastAsia" w:ascii="TimesNewRoman" w:hAnsi="TimesNewRoman" w:eastAsia="仿宋_GB2312" w:cs="TimesNewRoman"/>
          <w:sz w:val="32"/>
          <w:szCs w:val="32"/>
          <w:highlight w:val="none"/>
        </w:rPr>
        <w:t>指以前年度安排、结转到本年仍按原用途继续使用的资金。</w:t>
      </w:r>
    </w:p>
    <w:p>
      <w:pPr>
        <w:pStyle w:val="7"/>
        <w:adjustRightInd w:val="0"/>
        <w:snapToGrid w:val="0"/>
        <w:spacing w:line="560" w:lineRule="exact"/>
        <w:ind w:firstLine="630" w:firstLineChars="196"/>
        <w:rPr>
          <w:rFonts w:ascii="TimesNewRoman" w:hAnsi="TimesNewRoman" w:eastAsia="仿宋_GB2312" w:cs="TimesNewRoman"/>
          <w:sz w:val="32"/>
          <w:szCs w:val="32"/>
          <w:highlight w:val="none"/>
        </w:rPr>
      </w:pPr>
      <w:r>
        <w:rPr>
          <w:rFonts w:hint="eastAsia" w:ascii="TimesNewRoman" w:hAnsi="TimesNewRoman" w:eastAsia="仿宋_GB2312" w:cs="TimesNewRoman"/>
          <w:b/>
          <w:sz w:val="32"/>
          <w:szCs w:val="32"/>
          <w:highlight w:val="none"/>
        </w:rPr>
        <w:t>七、结转下年：</w:t>
      </w:r>
      <w:r>
        <w:rPr>
          <w:rFonts w:hint="eastAsia" w:ascii="TimesNewRoman" w:hAnsi="TimesNewRoman" w:eastAsia="仿宋_GB2312" w:cs="TimesNewRoman"/>
          <w:sz w:val="32"/>
          <w:szCs w:val="32"/>
          <w:highlight w:val="none"/>
        </w:rPr>
        <w:t>指以前年度预算安排、因客观条件发生变化无法按原计划实施，需以后年度按原用途继续使用的资金。</w:t>
      </w:r>
    </w:p>
    <w:p>
      <w:pPr>
        <w:pStyle w:val="7"/>
        <w:adjustRightInd w:val="0"/>
        <w:snapToGrid w:val="0"/>
        <w:spacing w:line="560" w:lineRule="exact"/>
        <w:ind w:firstLine="630" w:firstLineChars="196"/>
        <w:rPr>
          <w:rFonts w:ascii="TimesNewRoman" w:hAnsi="TimesNewRoman" w:eastAsia="仿宋_GB2312" w:cs="TimesNewRoman"/>
          <w:sz w:val="32"/>
          <w:szCs w:val="32"/>
          <w:highlight w:val="none"/>
        </w:rPr>
      </w:pPr>
      <w:r>
        <w:rPr>
          <w:rFonts w:hint="eastAsia" w:ascii="TimesNewRoman" w:hAnsi="TimesNewRoman" w:eastAsia="仿宋_GB2312" w:cs="TimesNewRoman"/>
          <w:b/>
          <w:sz w:val="32"/>
          <w:szCs w:val="32"/>
          <w:highlight w:val="none"/>
        </w:rPr>
        <w:t>八、基本支出：</w:t>
      </w:r>
      <w:r>
        <w:rPr>
          <w:rFonts w:hint="eastAsia" w:ascii="TimesNewRoman" w:hAnsi="TimesNewRoman" w:eastAsia="仿宋_GB2312" w:cs="TimesNewRoman"/>
          <w:sz w:val="32"/>
          <w:szCs w:val="32"/>
          <w:highlight w:val="none"/>
        </w:rPr>
        <w:t>指为保障机构正常运转、完成日常工作任务而发生的人员支出和公用支出。</w:t>
      </w:r>
    </w:p>
    <w:p>
      <w:pPr>
        <w:pStyle w:val="7"/>
        <w:adjustRightInd w:val="0"/>
        <w:snapToGrid w:val="0"/>
        <w:spacing w:line="560" w:lineRule="exact"/>
        <w:ind w:firstLine="630" w:firstLineChars="196"/>
        <w:rPr>
          <w:rFonts w:ascii="TimesNewRoman" w:hAnsi="TimesNewRoman" w:eastAsia="仿宋_GB2312" w:cs="TimesNewRoman"/>
          <w:sz w:val="32"/>
          <w:szCs w:val="32"/>
          <w:highlight w:val="none"/>
        </w:rPr>
      </w:pPr>
      <w:r>
        <w:rPr>
          <w:rFonts w:hint="eastAsia" w:ascii="TimesNewRoman" w:hAnsi="TimesNewRoman" w:eastAsia="仿宋_GB2312" w:cs="TimesNewRoman"/>
          <w:b/>
          <w:sz w:val="32"/>
          <w:szCs w:val="32"/>
          <w:highlight w:val="none"/>
        </w:rPr>
        <w:t>九、项目支出：</w:t>
      </w:r>
      <w:r>
        <w:rPr>
          <w:rFonts w:hint="eastAsia" w:ascii="TimesNewRoman" w:hAnsi="TimesNewRoman" w:eastAsia="仿宋_GB2312" w:cs="TimesNewRoman"/>
          <w:sz w:val="32"/>
          <w:szCs w:val="32"/>
          <w:highlight w:val="none"/>
        </w:rPr>
        <w:t>指在除基本支出之外的支出，主要用于完成特定的工作任务和事业发展目标。</w:t>
      </w:r>
    </w:p>
    <w:p>
      <w:pPr>
        <w:pStyle w:val="7"/>
        <w:adjustRightInd w:val="0"/>
        <w:snapToGrid w:val="0"/>
        <w:spacing w:line="560" w:lineRule="exact"/>
        <w:ind w:firstLine="630" w:firstLineChars="196"/>
        <w:rPr>
          <w:rFonts w:ascii="TimesNewRoman" w:hAnsi="TimesNewRoman" w:eastAsia="仿宋_GB2312" w:cs="TimesNewRoman"/>
          <w:sz w:val="32"/>
          <w:szCs w:val="32"/>
          <w:highlight w:val="none"/>
        </w:rPr>
      </w:pPr>
      <w:r>
        <w:rPr>
          <w:rFonts w:hint="eastAsia" w:ascii="TimesNewRoman" w:hAnsi="TimesNewRoman" w:eastAsia="仿宋_GB2312" w:cs="TimesNewRoman"/>
          <w:b/>
          <w:sz w:val="32"/>
          <w:szCs w:val="32"/>
          <w:highlight w:val="none"/>
        </w:rPr>
        <w:t xml:space="preserve">十、机关运行经费: </w:t>
      </w:r>
      <w:r>
        <w:rPr>
          <w:rFonts w:hint="eastAsia" w:ascii="TimesNewRoman" w:hAnsi="TimesNewRoman" w:eastAsia="仿宋_GB2312" w:cs="TimesNewRoman"/>
          <w:sz w:val="32"/>
          <w:szCs w:val="32"/>
          <w:highlight w:val="none"/>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rPr>
          <w:highlight w:val="none"/>
        </w:rPr>
      </w:pPr>
    </w:p>
    <w:p>
      <w:pPr>
        <w:rPr>
          <w:highlight w:val="none"/>
        </w:rPr>
      </w:pPr>
    </w:p>
    <w:p>
      <w:pPr>
        <w:rPr>
          <w:highlight w:val="none"/>
        </w:rPr>
      </w:pPr>
    </w:p>
    <w:p>
      <w:pPr>
        <w:rPr>
          <w:highlight w:val="none"/>
        </w:rPr>
      </w:pPr>
    </w:p>
    <w:p>
      <w:pPr>
        <w:rPr>
          <w:highlight w:val="none"/>
        </w:rPr>
      </w:pPr>
    </w:p>
    <w:bookmarkEnd w:id="0"/>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
    <w:altName w:val="Segoe Print"/>
    <w:panose1 w:val="00000000000000000000"/>
    <w:charset w:val="00"/>
    <w:family w:val="auto"/>
    <w:pitch w:val="default"/>
    <w:sig w:usb0="00000000" w:usb1="00000000" w:usb2="00000029" w:usb3="00000000" w:csb0="600001FF" w:csb1="FFFF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JhOTdlZjk4ZmVmZTQ4NDNiNTFhYWY1YjQ2Yzk5ZTAifQ=="/>
  </w:docVars>
  <w:rsids>
    <w:rsidRoot w:val="00E907C4"/>
    <w:rsid w:val="000E28EE"/>
    <w:rsid w:val="00267E33"/>
    <w:rsid w:val="004A4DC6"/>
    <w:rsid w:val="0057562B"/>
    <w:rsid w:val="006546AF"/>
    <w:rsid w:val="00726D96"/>
    <w:rsid w:val="00740B10"/>
    <w:rsid w:val="008F6D1A"/>
    <w:rsid w:val="009168AC"/>
    <w:rsid w:val="009A3CA3"/>
    <w:rsid w:val="00AE3242"/>
    <w:rsid w:val="00B964EC"/>
    <w:rsid w:val="00BD640A"/>
    <w:rsid w:val="00DB2A5C"/>
    <w:rsid w:val="00E907C4"/>
    <w:rsid w:val="00EC7755"/>
    <w:rsid w:val="00F45ECB"/>
    <w:rsid w:val="00F974AD"/>
    <w:rsid w:val="0C2A371B"/>
    <w:rsid w:val="171133C2"/>
    <w:rsid w:val="18AA7C9C"/>
    <w:rsid w:val="1A1F6D96"/>
    <w:rsid w:val="209F4AB8"/>
    <w:rsid w:val="218F362C"/>
    <w:rsid w:val="23165782"/>
    <w:rsid w:val="235876BD"/>
    <w:rsid w:val="28113841"/>
    <w:rsid w:val="299E633A"/>
    <w:rsid w:val="30F41492"/>
    <w:rsid w:val="33D34D0C"/>
    <w:rsid w:val="39E30EAC"/>
    <w:rsid w:val="423F3306"/>
    <w:rsid w:val="48560000"/>
    <w:rsid w:val="50E21BDA"/>
    <w:rsid w:val="64FE0438"/>
    <w:rsid w:val="671310B3"/>
    <w:rsid w:val="73EA2F4A"/>
    <w:rsid w:val="75376E54"/>
    <w:rsid w:val="76283CF9"/>
    <w:rsid w:val="765661D4"/>
    <w:rsid w:val="77BB6B8C"/>
    <w:rsid w:val="78175E36"/>
    <w:rsid w:val="7F567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pPr>
    <w:rPr>
      <w:rFonts w:ascii="Calibri" w:hAnsi="Calibri"/>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5">
    <w:name w:val="footer"/>
    <w:basedOn w:val="1"/>
    <w:link w:val="11"/>
    <w:semiHidden/>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Char"/>
    <w:basedOn w:val="9"/>
    <w:link w:val="6"/>
    <w:semiHidden/>
    <w:qFormat/>
    <w:uiPriority w:val="99"/>
    <w:rPr>
      <w:sz w:val="18"/>
      <w:szCs w:val="18"/>
    </w:rPr>
  </w:style>
  <w:style w:type="character" w:customStyle="1" w:styleId="11">
    <w:name w:val="页脚 Char"/>
    <w:basedOn w:val="9"/>
    <w:link w:val="5"/>
    <w:semiHidden/>
    <w:qFormat/>
    <w:uiPriority w:val="99"/>
    <w:rPr>
      <w:sz w:val="18"/>
      <w:szCs w:val="18"/>
    </w:rPr>
  </w:style>
  <w:style w:type="character" w:customStyle="1" w:styleId="12">
    <w:name w:val="font21"/>
    <w:basedOn w:val="9"/>
    <w:qFormat/>
    <w:uiPriority w:val="0"/>
    <w:rPr>
      <w:rFonts w:hint="default" w:ascii="Calibri" w:hAnsi="Calibri" w:cs="Calibri"/>
      <w:color w:val="000000"/>
      <w:sz w:val="21"/>
      <w:szCs w:val="21"/>
      <w:u w:val="none"/>
    </w:rPr>
  </w:style>
  <w:style w:type="character" w:customStyle="1" w:styleId="13">
    <w:name w:val="font11"/>
    <w:basedOn w:val="9"/>
    <w:qFormat/>
    <w:uiPriority w:val="0"/>
    <w:rPr>
      <w:rFonts w:hint="eastAsia" w:ascii="宋体" w:hAnsi="宋体" w:eastAsia="宋体" w:cs="宋体"/>
      <w:color w:val="000000"/>
      <w:sz w:val="21"/>
      <w:szCs w:val="21"/>
      <w:u w:val="none"/>
    </w:rPr>
  </w:style>
  <w:style w:type="character" w:customStyle="1" w:styleId="14">
    <w:name w:val="font3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11469</Words>
  <Characters>12491</Characters>
  <Lines>46</Lines>
  <Paragraphs>13</Paragraphs>
  <TotalTime>0</TotalTime>
  <ScaleCrop>false</ScaleCrop>
  <LinksUpToDate>false</LinksUpToDate>
  <CharactersWithSpaces>12844</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徐肖</cp:lastModifiedBy>
  <dcterms:modified xsi:type="dcterms:W3CDTF">2025-02-11T02:46:09Z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217A002AC2054DAF996B6A94DBCD3C48_12</vt:lpwstr>
  </property>
</Properties>
</file>