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附件1-1</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60" w:lineRule="exact"/>
        <w:jc w:val="center"/>
        <w:rPr>
          <w:rFonts w:ascii="TimesNewRoman" w:hAnsi="TimesNewRoman" w:eastAsia="华文中宋" w:cs="TimesNewRoman"/>
          <w:b/>
          <w:sz w:val="44"/>
          <w:szCs w:val="44"/>
          <w:highlight w:val="none"/>
        </w:rPr>
      </w:pPr>
      <w:r>
        <w:rPr>
          <w:rFonts w:hint="eastAsia" w:ascii="TimesNewRoman" w:hAnsi="TimesNewRoman" w:eastAsia="华文中宋" w:cs="TimesNewRoman"/>
          <w:b/>
          <w:sz w:val="44"/>
          <w:szCs w:val="44"/>
          <w:highlight w:val="none"/>
        </w:rPr>
        <w:t>淮北市</w:t>
      </w:r>
      <w:r>
        <w:rPr>
          <w:rFonts w:hint="eastAsia" w:ascii="TimesNewRoman" w:hAnsi="TimesNewRoman" w:eastAsia="华文中宋" w:cs="TimesNewRoman"/>
          <w:b/>
          <w:sz w:val="44"/>
          <w:szCs w:val="44"/>
          <w:highlight w:val="none"/>
          <w:lang w:eastAsia="zh-CN"/>
        </w:rPr>
        <w:t>商贸发展服务中心</w:t>
      </w:r>
      <w:r>
        <w:rPr>
          <w:rFonts w:hint="eastAsia" w:ascii="华文中宋" w:hAnsi="华文中宋" w:eastAsia="华文中宋" w:cs="华文中宋"/>
          <w:b/>
          <w:sz w:val="44"/>
          <w:szCs w:val="44"/>
          <w:highlight w:val="none"/>
          <w:lang w:eastAsia="zh-CN"/>
        </w:rPr>
        <w:t>2025</w:t>
      </w:r>
      <w:r>
        <w:rPr>
          <w:rFonts w:hint="eastAsia" w:ascii="TimesNewRoman" w:hAnsi="TimesNewRoman" w:eastAsia="华文中宋" w:cs="TimesNewRoman"/>
          <w:b/>
          <w:sz w:val="44"/>
          <w:szCs w:val="44"/>
          <w:highlight w:val="none"/>
        </w:rPr>
        <w:t>年</w:t>
      </w:r>
    </w:p>
    <w:p>
      <w:pPr>
        <w:spacing w:line="560" w:lineRule="exact"/>
        <w:jc w:val="center"/>
        <w:rPr>
          <w:rFonts w:ascii="TimesNewRoman" w:hAnsi="TimesNewRoman" w:eastAsia="华文中宋" w:cs="TimesNewRoman"/>
          <w:b/>
          <w:sz w:val="44"/>
          <w:szCs w:val="44"/>
          <w:highlight w:val="none"/>
        </w:rPr>
      </w:pPr>
      <w:r>
        <w:rPr>
          <w:rFonts w:hint="eastAsia" w:ascii="TimesNewRoman" w:hAnsi="TimesNewRoman" w:eastAsia="华文中宋" w:cs="TimesNewRoman"/>
          <w:b/>
          <w:sz w:val="44"/>
          <w:szCs w:val="44"/>
          <w:highlight w:val="none"/>
        </w:rPr>
        <w:t>单位预算</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60" w:lineRule="exact"/>
        <w:jc w:val="center"/>
        <w:rPr>
          <w:rFonts w:hint="eastAsia" w:ascii="TimesNewRoman" w:hAnsi="TimesNewRoman" w:eastAsia="华文中宋" w:cs="TimesNewRoman"/>
          <w:b/>
          <w:sz w:val="44"/>
          <w:szCs w:val="4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8"/>
        <w:adjustRightInd w:val="0"/>
        <w:snapToGrid w:val="0"/>
        <w:spacing w:line="560" w:lineRule="exact"/>
        <w:jc w:val="center"/>
        <w:rPr>
          <w:rFonts w:ascii="TimesNewRoman" w:hAnsi="TimesNewRoman" w:eastAsia="黑体" w:cs="TimesNewRoman"/>
          <w:bCs/>
          <w:sz w:val="44"/>
          <w:szCs w:val="44"/>
          <w:highlight w:val="none"/>
        </w:rPr>
      </w:pPr>
    </w:p>
    <w:p>
      <w:pPr>
        <w:pStyle w:val="8"/>
        <w:adjustRightInd w:val="0"/>
        <w:snapToGrid w:val="0"/>
        <w:spacing w:line="560" w:lineRule="exact"/>
        <w:jc w:val="center"/>
        <w:rPr>
          <w:rFonts w:ascii="TimesNewRoman" w:hAnsi="TimesNewRoman" w:eastAsia="黑体" w:cs="TimesNewRoman"/>
          <w:bCs/>
          <w:sz w:val="44"/>
          <w:szCs w:val="44"/>
          <w:highlight w:val="none"/>
        </w:rPr>
      </w:pPr>
      <w:r>
        <w:rPr>
          <w:rFonts w:hint="eastAsia" w:ascii="华文中宋" w:hAnsi="华文中宋" w:eastAsia="华文中宋" w:cs="华文中宋"/>
          <w:b/>
          <w:kern w:val="2"/>
          <w:sz w:val="44"/>
          <w:szCs w:val="44"/>
          <w:highlight w:val="none"/>
          <w:lang w:val="en-US" w:eastAsia="zh-CN" w:bidi="ar-SA"/>
        </w:rPr>
        <w:t>2025</w:t>
      </w:r>
      <w:r>
        <w:rPr>
          <w:rFonts w:hint="eastAsia" w:ascii="TimesNewRoman" w:hAnsi="TimesNewRoman" w:eastAsia="黑体" w:cs="TimesNewRoman"/>
          <w:bCs/>
          <w:sz w:val="44"/>
          <w:szCs w:val="44"/>
          <w:highlight w:val="none"/>
        </w:rPr>
        <w:t>年</w:t>
      </w:r>
      <w:r>
        <w:rPr>
          <w:rFonts w:hint="eastAsia" w:ascii="华文中宋" w:hAnsi="华文中宋" w:eastAsia="华文中宋" w:cs="华文中宋"/>
          <w:b/>
          <w:kern w:val="2"/>
          <w:sz w:val="44"/>
          <w:szCs w:val="44"/>
          <w:highlight w:val="none"/>
          <w:lang w:val="en-US" w:eastAsia="zh-CN" w:bidi="ar-SA"/>
        </w:rPr>
        <w:t>2</w:t>
      </w:r>
      <w:r>
        <w:rPr>
          <w:rFonts w:hint="eastAsia" w:ascii="TimesNewRoman" w:hAnsi="TimesNewRoman" w:eastAsia="黑体" w:cs="TimesNewRoman"/>
          <w:bCs/>
          <w:sz w:val="44"/>
          <w:szCs w:val="44"/>
          <w:highlight w:val="none"/>
        </w:rPr>
        <w:t>月</w:t>
      </w:r>
    </w:p>
    <w:p>
      <w:pPr>
        <w:rPr>
          <w:highlight w:val="none"/>
        </w:rPr>
      </w:pPr>
    </w:p>
    <w:p>
      <w:pPr>
        <w:rPr>
          <w:highlight w:val="none"/>
        </w:rPr>
      </w:pPr>
    </w:p>
    <w:p>
      <w:pPr>
        <w:pStyle w:val="8"/>
        <w:adjustRightInd w:val="0"/>
        <w:snapToGrid w:val="0"/>
        <w:spacing w:line="560" w:lineRule="exact"/>
        <w:jc w:val="center"/>
        <w:rPr>
          <w:rFonts w:ascii="TimesNewRoman" w:hAnsi="TimesNewRoman" w:eastAsia="黑体" w:cs="TimesNewRoman"/>
          <w:bCs/>
          <w:sz w:val="44"/>
          <w:szCs w:val="44"/>
          <w:highlight w:val="none"/>
        </w:rPr>
      </w:pPr>
      <w:r>
        <w:rPr>
          <w:rFonts w:hint="eastAsia" w:ascii="TimesNewRoman" w:hAnsi="TimesNewRoman" w:eastAsia="黑体" w:cs="TimesNewRoman"/>
          <w:bCs/>
          <w:sz w:val="44"/>
          <w:szCs w:val="44"/>
          <w:highlight w:val="none"/>
        </w:rPr>
        <w:t>目  录</w:t>
      </w:r>
    </w:p>
    <w:p>
      <w:pPr>
        <w:rPr>
          <w:highlight w:val="none"/>
        </w:rPr>
      </w:pPr>
    </w:p>
    <w:p>
      <w:pPr>
        <w:pStyle w:val="8"/>
        <w:adjustRightInd w:val="0"/>
        <w:snapToGrid w:val="0"/>
        <w:spacing w:line="40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第一部分 单位概况</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1、主要职责</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2、单位预算构成</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 、2025年度主要工作任务</w:t>
      </w:r>
    </w:p>
    <w:p>
      <w:pPr>
        <w:pStyle w:val="8"/>
        <w:adjustRightInd w:val="0"/>
        <w:snapToGrid w:val="0"/>
        <w:spacing w:line="40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第二部分</w:t>
      </w:r>
      <w:r>
        <w:rPr>
          <w:rFonts w:hint="eastAsia" w:ascii="仿宋_GB2312" w:hAnsi="仿宋_GB2312" w:eastAsia="仿宋_GB2312" w:cs="仿宋_GB2312"/>
          <w:b/>
          <w:sz w:val="32"/>
          <w:szCs w:val="32"/>
          <w:highlight w:val="none"/>
        </w:rPr>
        <w:t xml:space="preserve"> 2025</w:t>
      </w:r>
      <w:r>
        <w:rPr>
          <w:rFonts w:hint="eastAsia" w:ascii="TimesNewRoman" w:hAnsi="TimesNewRoman" w:eastAsia="仿宋_GB2312" w:cs="TimesNewRoman"/>
          <w:b/>
          <w:sz w:val="32"/>
          <w:szCs w:val="32"/>
          <w:highlight w:val="none"/>
        </w:rPr>
        <w:t>年单位预算表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2025年收入总表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2025年支出总表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2025年财政拨款收支总表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2025年一般公共预算支出表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6、淮北市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2025年一般公共预算基本支出表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7、淮北市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2025年政府性基金预算支出表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8、淮北市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2025年国有资本经营预算支出表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9、淮北市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2025年项目支出表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2025年政府采购支出表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11、淮北市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2025年政府购买服务支出表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12、淮北市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2025年通用资产配置支出表</w:t>
      </w:r>
    </w:p>
    <w:p>
      <w:pPr>
        <w:pStyle w:val="8"/>
        <w:adjustRightInd w:val="0"/>
        <w:snapToGrid w:val="0"/>
        <w:spacing w:line="40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第三部分</w:t>
      </w:r>
      <w:r>
        <w:rPr>
          <w:rFonts w:hint="eastAsia" w:ascii="仿宋_GB2312" w:hAnsi="仿宋_GB2312" w:eastAsia="仿宋_GB2312" w:cs="仿宋_GB2312"/>
          <w:b/>
          <w:sz w:val="32"/>
          <w:szCs w:val="32"/>
          <w:highlight w:val="none"/>
        </w:rPr>
        <w:t xml:space="preserve"> 2025</w:t>
      </w:r>
      <w:r>
        <w:rPr>
          <w:rFonts w:hint="eastAsia" w:ascii="TimesNewRoman" w:hAnsi="TimesNewRoman" w:eastAsia="仿宋_GB2312" w:cs="TimesNewRoman"/>
          <w:b/>
          <w:sz w:val="32"/>
          <w:szCs w:val="32"/>
          <w:highlight w:val="none"/>
        </w:rPr>
        <w:t>年单位预算情况说明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1、关于2025年收支总表的说明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2、关于2025年收入总表的说明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3、关于2025年支出总表的说明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4、关于2025年财政拨款收支总表的说明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5、关于2025年一般公共预算支出表的说明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6、关于2025年一般公共预算基本支出表的说明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7、关于2025年政府性基金预算支出表的说明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8、关于2025年国有资本经营预算支出表的说明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9、关于2025年项目支出表的说明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10、关于2025年政府采购支出表的说明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11、关于2025年政府购买服务支出表的说明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12、关于2025年通用资产配置支出表的说明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13、</w:t>
      </w:r>
      <w:r>
        <w:rPr>
          <w:rFonts w:hint="eastAsia" w:ascii="仿宋_GB2312" w:hAnsi="仿宋_GB2312" w:eastAsia="仿宋_GB2312" w:cs="仿宋_GB2312"/>
          <w:bCs/>
          <w:sz w:val="32"/>
          <w:szCs w:val="32"/>
          <w:highlight w:val="none"/>
        </w:rPr>
        <w:t>其他重要事项情况说明</w:t>
      </w:r>
    </w:p>
    <w:p>
      <w:pPr>
        <w:pStyle w:val="8"/>
        <w:adjustRightInd w:val="0"/>
        <w:snapToGrid w:val="0"/>
        <w:spacing w:line="40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第四部分 名词解释</w:t>
      </w:r>
    </w:p>
    <w:p>
      <w:pPr>
        <w:pStyle w:val="8"/>
        <w:adjustRightInd w:val="0"/>
        <w:snapToGrid w:val="0"/>
        <w:spacing w:line="400" w:lineRule="exact"/>
        <w:ind w:firstLine="643" w:firstLineChars="200"/>
        <w:rPr>
          <w:rFonts w:hint="eastAsia"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第五部分 其它公开事项</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2025年部门预算纳入绩效考评项目表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Cs/>
          <w:sz w:val="32"/>
          <w:szCs w:val="32"/>
          <w:highlight w:val="none"/>
        </w:rPr>
        <w:t>2025年部门预算专项资金管理清单（专栏公开）</w:t>
      </w:r>
    </w:p>
    <w:p>
      <w:pPr>
        <w:pStyle w:val="8"/>
        <w:adjustRightInd w:val="0"/>
        <w:snapToGrid w:val="0"/>
        <w:spacing w:line="400" w:lineRule="exact"/>
        <w:ind w:firstLine="800" w:firstLineChars="250"/>
        <w:rPr>
          <w:rFonts w:hint="eastAsia" w:ascii="仿宋_GB2312" w:hAnsi="仿宋_GB2312" w:eastAsia="仿宋_GB2312" w:cs="仿宋_GB2312"/>
          <w:bCs/>
          <w:sz w:val="32"/>
          <w:szCs w:val="32"/>
          <w:highlight w:val="none"/>
        </w:rPr>
      </w:pPr>
    </w:p>
    <w:p>
      <w:pPr>
        <w:pStyle w:val="8"/>
        <w:adjustRightInd w:val="0"/>
        <w:snapToGrid w:val="0"/>
        <w:spacing w:line="560" w:lineRule="exact"/>
        <w:jc w:val="center"/>
        <w:rPr>
          <w:rFonts w:hint="eastAsia" w:ascii="TimesNewRoman" w:hAnsi="TimesNewRoman" w:eastAsia="黑体" w:cs="TimesNewRoman"/>
          <w:bCs/>
          <w:sz w:val="36"/>
          <w:szCs w:val="36"/>
          <w:highlight w:val="none"/>
        </w:rPr>
      </w:pPr>
    </w:p>
    <w:p>
      <w:pPr>
        <w:pStyle w:val="8"/>
        <w:adjustRightInd w:val="0"/>
        <w:snapToGrid w:val="0"/>
        <w:spacing w:line="560" w:lineRule="exact"/>
        <w:jc w:val="center"/>
        <w:rPr>
          <w:rFonts w:hint="eastAsia" w:ascii="TimesNewRoman" w:hAnsi="TimesNewRoman" w:eastAsia="黑体" w:cs="TimesNewRoman"/>
          <w:bCs/>
          <w:sz w:val="36"/>
          <w:szCs w:val="36"/>
          <w:highlight w:val="none"/>
        </w:rPr>
      </w:pPr>
    </w:p>
    <w:p>
      <w:pPr>
        <w:pStyle w:val="8"/>
        <w:adjustRightInd w:val="0"/>
        <w:snapToGrid w:val="0"/>
        <w:spacing w:line="560" w:lineRule="exact"/>
        <w:jc w:val="center"/>
        <w:rPr>
          <w:rFonts w:hint="eastAsia" w:ascii="TimesNewRoman" w:hAnsi="TimesNewRoman" w:eastAsia="黑体" w:cs="TimesNewRoman"/>
          <w:bCs/>
          <w:sz w:val="36"/>
          <w:szCs w:val="36"/>
          <w:highlight w:val="none"/>
        </w:rPr>
      </w:pPr>
    </w:p>
    <w:p>
      <w:pPr>
        <w:pStyle w:val="8"/>
        <w:adjustRightInd w:val="0"/>
        <w:snapToGrid w:val="0"/>
        <w:spacing w:line="560" w:lineRule="exact"/>
        <w:jc w:val="center"/>
        <w:rPr>
          <w:rFonts w:ascii="TimesNewRoman" w:hAnsi="TimesNewRoman" w:eastAsia="黑体" w:cs="TimesNewRoman"/>
          <w:bCs/>
          <w:sz w:val="36"/>
          <w:szCs w:val="36"/>
          <w:highlight w:val="none"/>
        </w:rPr>
      </w:pPr>
      <w:r>
        <w:rPr>
          <w:rFonts w:hint="eastAsia" w:ascii="TimesNewRoman" w:hAnsi="TimesNewRoman" w:eastAsia="黑体" w:cs="TimesNewRoman"/>
          <w:bCs/>
          <w:sz w:val="36"/>
          <w:szCs w:val="36"/>
          <w:highlight w:val="none"/>
        </w:rPr>
        <w:t>第一部分 单位概况</w:t>
      </w:r>
    </w:p>
    <w:p>
      <w:pPr>
        <w:rPr>
          <w:highlight w:val="none"/>
        </w:rPr>
      </w:pP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一、主要职责</w:t>
      </w:r>
    </w:p>
    <w:p>
      <w:pPr>
        <w:adjustRightInd w:val="0"/>
        <w:snapToGrid w:val="0"/>
        <w:spacing w:line="600" w:lineRule="exact"/>
        <w:ind w:firstLine="640" w:firstLineChars="200"/>
        <w:rPr>
          <w:rFonts w:hint="eastAsia" w:ascii="仿宋_GB2312" w:hAnsi="楷体" w:eastAsia="仿宋"/>
          <w:sz w:val="32"/>
          <w:szCs w:val="32"/>
          <w:highlight w:val="none"/>
          <w:lang w:eastAsia="zh-CN"/>
        </w:rPr>
      </w:pPr>
      <w:r>
        <w:rPr>
          <w:rFonts w:hint="eastAsia" w:ascii="仿宋_GB2312" w:hAnsi="仿宋" w:eastAsia="仿宋_GB2312"/>
          <w:sz w:val="32"/>
          <w:szCs w:val="32"/>
          <w:highlight w:val="none"/>
        </w:rPr>
        <w:t>一、</w:t>
      </w:r>
      <w:r>
        <w:rPr>
          <w:rFonts w:hint="eastAsia" w:ascii="仿宋" w:hAnsi="仿宋" w:eastAsia="仿宋"/>
          <w:sz w:val="32"/>
          <w:szCs w:val="32"/>
          <w:highlight w:val="none"/>
        </w:rPr>
        <w:t>负责</w:t>
      </w:r>
      <w:r>
        <w:rPr>
          <w:rFonts w:hint="eastAsia" w:ascii="仿宋" w:hAnsi="仿宋" w:eastAsia="仿宋"/>
          <w:sz w:val="32"/>
          <w:szCs w:val="32"/>
          <w:highlight w:val="none"/>
          <w:lang w:eastAsia="zh-CN"/>
        </w:rPr>
        <w:t>为全市会展业提供服务保障等相关工作</w:t>
      </w:r>
      <w:r>
        <w:rPr>
          <w:rFonts w:hint="eastAsia" w:ascii="仿宋" w:hAnsi="仿宋" w:eastAsia="仿宋"/>
          <w:sz w:val="32"/>
          <w:szCs w:val="32"/>
          <w:highlight w:val="none"/>
        </w:rPr>
        <w:t>负责指导</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协调</w:t>
      </w:r>
      <w:r>
        <w:rPr>
          <w:rFonts w:hint="eastAsia" w:ascii="仿宋" w:hAnsi="仿宋" w:eastAsia="仿宋"/>
          <w:sz w:val="32"/>
          <w:szCs w:val="32"/>
          <w:highlight w:val="none"/>
          <w:lang w:eastAsia="zh-CN"/>
        </w:rPr>
        <w:t>、服务全市各类会展活动，承担上级交办的会展相关工作；负责全市党政机关举办各类展会清理整顿等事务性工作；二、负责为城市商业网点规划、商业体系建设、商贸市场和农产品流通体系建设提供保障等相关工作；负责落实促进市场发展各项政策措施、规划、规范等；负责对农贸市场硬件设施、功能配套、提档升级提出指导意见，为新建和扩建农贸市场提供服务保障等相关工作；负责做好全市新建农贸市场项目信息管理工作，指导全市农贸市场项目发展，对农贸市场项目进度及完成情况进行跟踪服务；负责全市农贸市场创建文明城市相关工作。三、负责对商贸流通提供服务保障等相关工作；协助开展商贸流通发展状况的调查研究，掌握商贸流通发展态势，配合做好相关信息的采集和发布；负责为商贸流通提供培训、管理、招商、融资等咨询和精准服务；负责全市农贸市场城建卫生城市相关工作；协调督促农贸市场贯彻执行安全生产法律法规。</w:t>
      </w:r>
    </w:p>
    <w:p>
      <w:pPr>
        <w:pStyle w:val="8"/>
        <w:adjustRightInd w:val="0"/>
        <w:snapToGrid w:val="0"/>
        <w:spacing w:line="560" w:lineRule="exact"/>
        <w:ind w:firstLine="640" w:firstLineChars="200"/>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二、单位预算构成</w:t>
      </w:r>
    </w:p>
    <w:p>
      <w:pPr>
        <w:pStyle w:val="8"/>
        <w:adjustRightInd w:val="0"/>
        <w:snapToGrid w:val="0"/>
        <w:spacing w:line="560" w:lineRule="exact"/>
        <w:ind w:firstLine="627" w:firstLineChars="196"/>
        <w:rPr>
          <w:rFonts w:ascii="TimesNewRoman" w:hAnsi="TimesNewRoman" w:eastAsia="仿宋_GB2312" w:cs="TimesNewRoman"/>
          <w:sz w:val="32"/>
          <w:szCs w:val="32"/>
          <w:highlight w:val="none"/>
        </w:rPr>
      </w:pPr>
      <w:r>
        <w:rPr>
          <w:rFonts w:hint="eastAsia" w:ascii="TimesNewRoman" w:hAnsi="TimesNewRoman" w:eastAsia="仿宋_GB2312" w:cs="TimesNewRoman"/>
          <w:sz w:val="32"/>
          <w:szCs w:val="32"/>
          <w:highlight w:val="none"/>
        </w:rPr>
        <w:t>从预算单位构成看，</w:t>
      </w:r>
      <w:r>
        <w:rPr>
          <w:rFonts w:hint="eastAsia" w:ascii="TimesNewRoman" w:hAnsi="TimesNewRoman" w:eastAsia="仿宋_GB2312" w:cs="TimesNewRoman"/>
          <w:bCs/>
          <w:sz w:val="32"/>
          <w:szCs w:val="32"/>
          <w:highlight w:val="none"/>
        </w:rPr>
        <w:t>淮北市</w:t>
      </w:r>
      <w:r>
        <w:rPr>
          <w:rFonts w:hint="eastAsia" w:ascii="仿宋_GB2312" w:hAnsi="仿宋_GB2312" w:eastAsia="仿宋_GB2312" w:cs="仿宋_GB2312"/>
          <w:bCs/>
          <w:sz w:val="32"/>
          <w:szCs w:val="32"/>
          <w:highlight w:val="none"/>
          <w:lang w:eastAsia="zh-CN"/>
        </w:rPr>
        <w:t>商贸发展服务中心2025</w:t>
      </w:r>
      <w:r>
        <w:rPr>
          <w:rFonts w:hint="eastAsia" w:ascii="TimesNewRoman" w:hAnsi="TimesNewRoman" w:eastAsia="仿宋_GB2312" w:cs="TimesNewRoman"/>
          <w:sz w:val="32"/>
          <w:szCs w:val="32"/>
          <w:highlight w:val="none"/>
        </w:rPr>
        <w:t>年度部门预算</w:t>
      </w:r>
      <w:r>
        <w:rPr>
          <w:rFonts w:hint="eastAsia" w:ascii="TimesNewRoman" w:hAnsi="TimesNewRoman" w:eastAsia="仿宋_GB2312" w:cs="TimesNewRoman"/>
          <w:sz w:val="32"/>
          <w:szCs w:val="32"/>
          <w:highlight w:val="none"/>
          <w:lang w:eastAsia="zh-CN"/>
        </w:rPr>
        <w:t>属单位</w:t>
      </w:r>
      <w:r>
        <w:rPr>
          <w:rFonts w:hint="eastAsia" w:ascii="TimesNewRoman" w:hAnsi="TimesNewRoman" w:eastAsia="仿宋_GB2312" w:cs="TimesNewRoman"/>
          <w:sz w:val="32"/>
          <w:szCs w:val="32"/>
          <w:highlight w:val="none"/>
        </w:rPr>
        <w:t>预算，无其他下属单位预算。</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w:t>
      </w:r>
      <w:r>
        <w:rPr>
          <w:rFonts w:hint="eastAsia" w:ascii="黑体" w:hAnsi="黑体" w:eastAsia="黑体" w:cs="黑体"/>
          <w:bCs/>
          <w:sz w:val="32"/>
          <w:szCs w:val="32"/>
          <w:highlight w:val="none"/>
        </w:rPr>
        <w:t>2025</w:t>
      </w:r>
      <w:r>
        <w:rPr>
          <w:rFonts w:hint="eastAsia" w:ascii="TimesNewRoman" w:hAnsi="TimesNewRoman" w:eastAsia="黑体" w:cs="TimesNewRoman"/>
          <w:bCs/>
          <w:sz w:val="32"/>
          <w:szCs w:val="32"/>
          <w:highlight w:val="none"/>
        </w:rPr>
        <w:t>年度主要工作任务</w:t>
      </w:r>
    </w:p>
    <w:p>
      <w:pPr>
        <w:numPr>
          <w:ilvl w:val="0"/>
          <w:numId w:val="1"/>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强化服务、保障安全，进一步夯实农贸市场发展新动能</w:t>
      </w:r>
    </w:p>
    <w:p>
      <w:pPr>
        <w:numPr>
          <w:ilvl w:val="0"/>
          <w:numId w:val="0"/>
        </w:numPr>
        <w:pBdr>
          <w:bottom w:val="single" w:color="FFFFFF" w:sz="4" w:space="31"/>
        </w:pBdr>
        <w:tabs>
          <w:tab w:val="left" w:pos="617"/>
          <w:tab w:val="left" w:pos="1440"/>
        </w:tabs>
        <w:spacing w:line="580" w:lineRule="exact"/>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 xml:space="preserve">    （</w:t>
      </w:r>
      <w:r>
        <w:rPr>
          <w:rFonts w:hint="eastAsia" w:ascii="仿宋_GB2312" w:hAnsi="仿宋_GB2312" w:eastAsia="仿宋_GB2312" w:cs="仿宋_GB2312"/>
          <w:kern w:val="0"/>
          <w:sz w:val="32"/>
          <w:szCs w:val="32"/>
          <w:highlight w:val="none"/>
          <w:lang w:val="en-US" w:eastAsia="zh-CN" w:bidi="ar-SA"/>
        </w:rPr>
        <w:t>1</w:t>
      </w:r>
      <w:r>
        <w:rPr>
          <w:rFonts w:hint="eastAsia" w:ascii="TimesNewRoman" w:hAnsi="TimesNewRoman" w:eastAsia="仿宋_GB2312" w:cs="TimesNewRoman"/>
          <w:kern w:val="0"/>
          <w:sz w:val="32"/>
          <w:szCs w:val="32"/>
          <w:highlight w:val="none"/>
          <w:lang w:val="en-US" w:eastAsia="zh-CN" w:bidi="ar-SA"/>
        </w:rPr>
        <w:t>）加强商贸流通服务保障。</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2</w:t>
      </w:r>
      <w:r>
        <w:rPr>
          <w:rFonts w:hint="eastAsia" w:ascii="TimesNewRoman" w:hAnsi="TimesNewRoman" w:eastAsia="仿宋_GB2312" w:cs="TimesNewRoman"/>
          <w:kern w:val="0"/>
          <w:sz w:val="32"/>
          <w:szCs w:val="32"/>
          <w:highlight w:val="none"/>
          <w:lang w:val="en-US" w:eastAsia="zh-CN" w:bidi="ar-SA"/>
        </w:rPr>
        <w:t>）做好菜市创卫工作。</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3</w:t>
      </w:r>
      <w:r>
        <w:rPr>
          <w:rFonts w:hint="eastAsia" w:ascii="TimesNewRoman" w:hAnsi="TimesNewRoman" w:eastAsia="仿宋_GB2312" w:cs="TimesNewRoman"/>
          <w:kern w:val="0"/>
          <w:sz w:val="32"/>
          <w:szCs w:val="32"/>
          <w:highlight w:val="none"/>
          <w:lang w:val="en-US" w:eastAsia="zh-CN" w:bidi="ar-SA"/>
        </w:rPr>
        <w:t>）配合做好安全生产工作。</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（二）细化举措、强化落实，进一步拓展菜市发展新空间</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1</w:t>
      </w:r>
      <w:r>
        <w:rPr>
          <w:rFonts w:hint="eastAsia" w:ascii="TimesNewRoman" w:hAnsi="TimesNewRoman" w:eastAsia="仿宋_GB2312" w:cs="TimesNewRoman"/>
          <w:kern w:val="0"/>
          <w:sz w:val="32"/>
          <w:szCs w:val="32"/>
          <w:highlight w:val="none"/>
          <w:lang w:val="en-US" w:eastAsia="zh-CN" w:bidi="ar-SA"/>
        </w:rPr>
        <w:t>）加大政策支持力度。</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2</w:t>
      </w:r>
      <w:r>
        <w:rPr>
          <w:rFonts w:hint="eastAsia" w:ascii="TimesNewRoman" w:hAnsi="TimesNewRoman" w:eastAsia="仿宋_GB2312" w:cs="TimesNewRoman"/>
          <w:kern w:val="0"/>
          <w:sz w:val="32"/>
          <w:szCs w:val="32"/>
          <w:highlight w:val="none"/>
          <w:lang w:val="en-US" w:eastAsia="zh-CN" w:bidi="ar-SA"/>
        </w:rPr>
        <w:t>）强化日常规范管理。</w:t>
      </w:r>
    </w:p>
    <w:p>
      <w:pPr>
        <w:numPr>
          <w:ilvl w:val="0"/>
          <w:numId w:val="0"/>
        </w:num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3</w:t>
      </w:r>
      <w:r>
        <w:rPr>
          <w:rFonts w:hint="eastAsia" w:ascii="TimesNewRoman" w:hAnsi="TimesNewRoman" w:eastAsia="仿宋_GB2312" w:cs="TimesNewRoman"/>
          <w:kern w:val="0"/>
          <w:sz w:val="32"/>
          <w:szCs w:val="32"/>
          <w:highlight w:val="none"/>
          <w:lang w:val="en-US" w:eastAsia="zh-CN" w:bidi="ar-SA"/>
        </w:rPr>
        <w:t>）持续开展宣传报道。</w:t>
      </w:r>
    </w:p>
    <w:p>
      <w:pPr>
        <w:pBdr>
          <w:bottom w:val="single" w:color="FFFFFF" w:sz="4" w:space="31"/>
        </w:pBdr>
        <w:tabs>
          <w:tab w:val="left" w:pos="617"/>
          <w:tab w:val="left" w:pos="1440"/>
        </w:tabs>
        <w:spacing w:line="580" w:lineRule="exact"/>
        <w:ind w:firstLine="640" w:firstLineChars="200"/>
        <w:rPr>
          <w:rFonts w:hint="eastAsia" w:ascii="TimesNewRoman" w:hAnsi="TimesNewRoman" w:eastAsia="仿宋_GB2312" w:cs="TimesNewRoman"/>
          <w:kern w:val="0"/>
          <w:sz w:val="32"/>
          <w:szCs w:val="32"/>
          <w:highlight w:val="none"/>
          <w:lang w:val="en-US" w:eastAsia="zh-CN" w:bidi="ar-SA"/>
        </w:rPr>
      </w:pPr>
      <w:r>
        <w:rPr>
          <w:rFonts w:hint="eastAsia" w:ascii="TimesNewRoman" w:hAnsi="TimesNewRoman" w:eastAsia="仿宋_GB2312" w:cs="TimesNewRoman"/>
          <w:kern w:val="0"/>
          <w:sz w:val="32"/>
          <w:szCs w:val="32"/>
          <w:highlight w:val="none"/>
          <w:lang w:val="en-US" w:eastAsia="zh-CN" w:bidi="ar-SA"/>
        </w:rPr>
        <w:t>（三）培育品牌、优化机制，进一步探索会展经济发展新路径</w:t>
      </w:r>
    </w:p>
    <w:p>
      <w:pPr>
        <w:pStyle w:val="8"/>
        <w:adjustRightInd w:val="0"/>
        <w:snapToGrid w:val="0"/>
        <w:spacing w:line="560" w:lineRule="exact"/>
        <w:ind w:firstLine="1425" w:firstLineChars="396"/>
        <w:rPr>
          <w:rFonts w:ascii="TimesNewRoman" w:hAnsi="TimesNewRoman" w:eastAsia="黑体" w:cs="TimesNewRoman"/>
          <w:bCs/>
          <w:sz w:val="36"/>
          <w:szCs w:val="36"/>
          <w:highlight w:val="none"/>
        </w:rPr>
      </w:pPr>
      <w:r>
        <w:rPr>
          <w:rFonts w:hint="eastAsia" w:ascii="TimesNewRoman" w:hAnsi="TimesNewRoman" w:eastAsia="黑体" w:cs="TimesNewRoman"/>
          <w:bCs/>
          <w:sz w:val="36"/>
          <w:szCs w:val="36"/>
          <w:highlight w:val="none"/>
        </w:rPr>
        <w:t>第二部分</w:t>
      </w:r>
      <w:r>
        <w:rPr>
          <w:rFonts w:hint="eastAsia" w:ascii="黑体" w:hAnsi="黑体" w:eastAsia="黑体" w:cs="黑体"/>
          <w:bCs/>
          <w:sz w:val="36"/>
          <w:szCs w:val="36"/>
          <w:highlight w:val="none"/>
        </w:rPr>
        <w:t xml:space="preserve"> 2025</w:t>
      </w:r>
      <w:r>
        <w:rPr>
          <w:rFonts w:hint="eastAsia" w:ascii="TimesNewRoman" w:hAnsi="TimesNewRoman" w:eastAsia="黑体" w:cs="TimesNewRoman"/>
          <w:bCs/>
          <w:sz w:val="36"/>
          <w:szCs w:val="36"/>
          <w:highlight w:val="none"/>
        </w:rPr>
        <w:t>年单位预算表</w:t>
      </w:r>
    </w:p>
    <w:p>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highlight w:val="none"/>
        </w:rPr>
      </w:pPr>
      <w:r>
        <w:rPr>
          <w:rFonts w:hint="eastAsia" w:ascii="TimesNewRoman" w:hAnsi="TimesNewRoman" w:eastAsia="仿宋_GB2312" w:cs="TimesNewRoman"/>
          <w:bCs/>
          <w:sz w:val="32"/>
          <w:szCs w:val="32"/>
          <w:highlight w:val="none"/>
        </w:rPr>
        <w:t>见附件</w:t>
      </w:r>
      <w:r>
        <w:rPr>
          <w:rFonts w:hint="eastAsia" w:ascii="仿宋_GB2312" w:hAnsi="仿宋_GB2312" w:eastAsia="仿宋_GB2312" w:cs="仿宋_GB2312"/>
          <w:bCs/>
          <w:sz w:val="32"/>
          <w:szCs w:val="32"/>
          <w:highlight w:val="none"/>
        </w:rPr>
        <w:t>1-2</w:t>
      </w:r>
    </w:p>
    <w:p>
      <w:pPr>
        <w:rPr>
          <w:highlight w:val="none"/>
        </w:rPr>
      </w:pPr>
      <w:r>
        <w:rPr>
          <w:highlight w:val="none"/>
        </w:rPr>
        <w:t xml:space="preserve">                                        </w:t>
      </w:r>
    </w:p>
    <w:p>
      <w:pPr>
        <w:pStyle w:val="8"/>
        <w:adjustRightInd w:val="0"/>
        <w:snapToGrid w:val="0"/>
        <w:spacing w:line="560" w:lineRule="exact"/>
        <w:ind w:firstLine="1440" w:firstLineChars="400"/>
        <w:jc w:val="both"/>
        <w:rPr>
          <w:rFonts w:ascii="TimesNewRoman" w:hAnsi="TimesNewRoman" w:eastAsia="黑体" w:cs="TimesNewRoman"/>
          <w:bCs/>
          <w:sz w:val="36"/>
          <w:szCs w:val="36"/>
          <w:highlight w:val="none"/>
        </w:rPr>
      </w:pPr>
      <w:r>
        <w:rPr>
          <w:rFonts w:hint="eastAsia" w:ascii="TimesNewRoman" w:hAnsi="TimesNewRoman" w:eastAsia="黑体" w:cs="TimesNewRoman"/>
          <w:bCs/>
          <w:sz w:val="36"/>
          <w:szCs w:val="36"/>
          <w:highlight w:val="none"/>
        </w:rPr>
        <w:t xml:space="preserve">第三部分 </w:t>
      </w:r>
      <w:r>
        <w:rPr>
          <w:rFonts w:hint="eastAsia" w:ascii="黑体" w:hAnsi="黑体" w:eastAsia="黑体" w:cs="黑体"/>
          <w:bCs/>
          <w:sz w:val="36"/>
          <w:szCs w:val="36"/>
          <w:highlight w:val="none"/>
        </w:rPr>
        <w:t>2025</w:t>
      </w:r>
      <w:r>
        <w:rPr>
          <w:rFonts w:hint="eastAsia" w:ascii="TimesNewRoman" w:hAnsi="TimesNewRoman" w:eastAsia="黑体" w:cs="TimesNewRoman"/>
          <w:bCs/>
          <w:sz w:val="36"/>
          <w:szCs w:val="36"/>
          <w:highlight w:val="none"/>
        </w:rPr>
        <w:t>年单位预算情况说明</w:t>
      </w:r>
    </w:p>
    <w:p>
      <w:pPr>
        <w:pStyle w:val="8"/>
        <w:adjustRightInd w:val="0"/>
        <w:snapToGrid w:val="0"/>
        <w:spacing w:line="560" w:lineRule="exact"/>
        <w:ind w:firstLine="640" w:firstLineChars="200"/>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一、关于</w:t>
      </w:r>
      <w:r>
        <w:rPr>
          <w:rFonts w:hint="eastAsia" w:ascii="黑体" w:hAnsi="黑体" w:eastAsia="黑体" w:cs="黑体"/>
          <w:bCs/>
          <w:sz w:val="36"/>
          <w:szCs w:val="36"/>
          <w:highlight w:val="none"/>
        </w:rPr>
        <w:t>2025</w:t>
      </w:r>
      <w:r>
        <w:rPr>
          <w:rFonts w:hint="eastAsia" w:ascii="TimesNewRoman" w:hAnsi="TimesNewRoman" w:eastAsia="黑体" w:cs="TimesNewRoman"/>
          <w:bCs/>
          <w:sz w:val="32"/>
          <w:szCs w:val="32"/>
          <w:highlight w:val="none"/>
        </w:rPr>
        <w:t>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highlight w:val="none"/>
        </w:rPr>
      </w:pPr>
      <w:r>
        <w:rPr>
          <w:rFonts w:hint="eastAsia" w:ascii="TimesNewRoman" w:hAnsi="TimesNewRoman" w:eastAsia="仿宋_GB2312" w:cs="TimesNewRoman"/>
          <w:sz w:val="32"/>
          <w:szCs w:val="32"/>
          <w:highlight w:val="none"/>
        </w:rPr>
        <w:t>按照综合预算的原则，淮北市</w:t>
      </w:r>
      <w:r>
        <w:rPr>
          <w:rFonts w:hint="eastAsia" w:ascii="仿宋_GB2312" w:hAnsi="仿宋_GB2312" w:eastAsia="仿宋_GB2312" w:cs="仿宋_GB2312"/>
          <w:bCs/>
          <w:sz w:val="32"/>
          <w:szCs w:val="32"/>
          <w:highlight w:val="none"/>
          <w:lang w:eastAsia="zh-CN"/>
        </w:rPr>
        <w:t>商贸发展服务中心</w:t>
      </w:r>
      <w:r>
        <w:rPr>
          <w:rFonts w:hint="eastAsia" w:ascii="TimesNewRoman" w:hAnsi="TimesNewRoman" w:eastAsia="仿宋_GB2312" w:cs="TimesNewRoman"/>
          <w:sz w:val="32"/>
          <w:szCs w:val="32"/>
          <w:highlight w:val="none"/>
        </w:rPr>
        <w:t>所有收入和支出均纳入淮北市</w:t>
      </w:r>
      <w:r>
        <w:rPr>
          <w:rFonts w:hint="eastAsia" w:ascii="仿宋_GB2312" w:hAnsi="仿宋_GB2312" w:eastAsia="仿宋_GB2312" w:cs="仿宋_GB2312"/>
          <w:bCs/>
          <w:sz w:val="32"/>
          <w:szCs w:val="32"/>
          <w:highlight w:val="none"/>
          <w:lang w:eastAsia="zh-CN"/>
        </w:rPr>
        <w:t>商贸发展服务中心</w:t>
      </w:r>
      <w:r>
        <w:rPr>
          <w:rFonts w:hint="eastAsia" w:ascii="TimesNewRoman" w:hAnsi="TimesNewRoman" w:eastAsia="仿宋_GB2312" w:cs="TimesNewRoman"/>
          <w:sz w:val="32"/>
          <w:szCs w:val="32"/>
          <w:highlight w:val="none"/>
        </w:rPr>
        <w:t>预算管理。淮北市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2025年收支总预算483.37万元，收入全部是一般公共预算拨款收入483.37万元。</w:t>
      </w:r>
      <w:r>
        <w:rPr>
          <w:rFonts w:hint="eastAsia" w:ascii="TimesNewRoman" w:hAnsi="TimesNewRoman" w:eastAsia="仿宋_GB2312" w:cs="TimesNewRoman"/>
          <w:sz w:val="32"/>
          <w:szCs w:val="32"/>
          <w:highlight w:val="none"/>
        </w:rPr>
        <w:t>支出包括：一般公共服务支出</w:t>
      </w:r>
      <w:r>
        <w:rPr>
          <w:rFonts w:hint="eastAsia" w:ascii="仿宋_GB2312" w:hAnsi="仿宋_GB2312" w:eastAsia="仿宋_GB2312" w:cs="仿宋_GB2312"/>
          <w:kern w:val="0"/>
          <w:sz w:val="32"/>
          <w:szCs w:val="32"/>
          <w:highlight w:val="none"/>
          <w:lang w:val="en-US" w:eastAsia="zh-CN" w:bidi="ar-SA"/>
        </w:rPr>
        <w:t>322.41</w:t>
      </w:r>
      <w:r>
        <w:rPr>
          <w:rFonts w:hint="eastAsia" w:ascii="TimesNewRoman" w:hAnsi="TimesNewRoman" w:eastAsia="仿宋_GB2312" w:cs="TimesNewRoman"/>
          <w:sz w:val="32"/>
          <w:szCs w:val="32"/>
          <w:highlight w:val="none"/>
          <w:lang w:eastAsia="zh-CN"/>
        </w:rPr>
        <w:t>万元</w:t>
      </w:r>
      <w:r>
        <w:rPr>
          <w:rFonts w:hint="eastAsia" w:ascii="TimesNewRoman" w:hAnsi="TimesNewRoman" w:eastAsia="仿宋_GB2312" w:cs="TimesNewRoman"/>
          <w:sz w:val="32"/>
          <w:szCs w:val="32"/>
          <w:highlight w:val="none"/>
        </w:rPr>
        <w:t>、社会保障和就业支出</w:t>
      </w:r>
      <w:r>
        <w:rPr>
          <w:rFonts w:hint="eastAsia" w:ascii="仿宋_GB2312" w:hAnsi="仿宋_GB2312" w:eastAsia="仿宋_GB2312" w:cs="仿宋_GB2312"/>
          <w:kern w:val="0"/>
          <w:sz w:val="32"/>
          <w:szCs w:val="32"/>
          <w:highlight w:val="none"/>
          <w:lang w:val="en-US" w:eastAsia="zh-CN" w:bidi="ar-SA"/>
        </w:rPr>
        <w:t>68.05</w:t>
      </w:r>
      <w:r>
        <w:rPr>
          <w:rFonts w:hint="eastAsia" w:ascii="TimesNewRoman" w:hAnsi="TimesNewRoman" w:eastAsia="仿宋_GB2312" w:cs="TimesNewRoman"/>
          <w:sz w:val="32"/>
          <w:szCs w:val="32"/>
          <w:highlight w:val="none"/>
          <w:lang w:val="en-US" w:eastAsia="zh-CN"/>
        </w:rPr>
        <w:t>万元</w:t>
      </w:r>
      <w:r>
        <w:rPr>
          <w:rFonts w:hint="eastAsia" w:ascii="TimesNewRoman" w:hAnsi="TimesNewRoman" w:eastAsia="仿宋_GB2312" w:cs="TimesNewRoman"/>
          <w:sz w:val="32"/>
          <w:szCs w:val="32"/>
          <w:highlight w:val="none"/>
        </w:rPr>
        <w:t>、卫生健康支出</w:t>
      </w:r>
      <w:r>
        <w:rPr>
          <w:rFonts w:hint="eastAsia" w:ascii="仿宋_GB2312" w:hAnsi="仿宋_GB2312" w:eastAsia="仿宋_GB2312" w:cs="仿宋_GB2312"/>
          <w:kern w:val="0"/>
          <w:sz w:val="32"/>
          <w:szCs w:val="32"/>
          <w:highlight w:val="none"/>
          <w:lang w:val="en-US" w:eastAsia="zh-CN" w:bidi="ar-SA"/>
        </w:rPr>
        <w:t>20.14</w:t>
      </w:r>
      <w:r>
        <w:rPr>
          <w:rFonts w:hint="eastAsia" w:ascii="TimesNewRoman" w:hAnsi="TimesNewRoman" w:eastAsia="仿宋_GB2312" w:cs="TimesNewRoman"/>
          <w:sz w:val="32"/>
          <w:szCs w:val="32"/>
          <w:highlight w:val="none"/>
          <w:lang w:val="en-US" w:eastAsia="zh-CN"/>
        </w:rPr>
        <w:t>万元</w:t>
      </w:r>
      <w:r>
        <w:rPr>
          <w:rFonts w:hint="eastAsia" w:ascii="TimesNewRoman" w:hAnsi="TimesNewRoman" w:eastAsia="仿宋_GB2312" w:cs="TimesNewRoman"/>
          <w:sz w:val="32"/>
          <w:szCs w:val="32"/>
          <w:highlight w:val="none"/>
        </w:rPr>
        <w:t>、住房保障支出</w:t>
      </w:r>
      <w:r>
        <w:rPr>
          <w:rFonts w:hint="eastAsia" w:ascii="仿宋_GB2312" w:hAnsi="仿宋_GB2312" w:eastAsia="仿宋_GB2312" w:cs="仿宋_GB2312"/>
          <w:kern w:val="0"/>
          <w:sz w:val="32"/>
          <w:szCs w:val="32"/>
          <w:highlight w:val="none"/>
          <w:lang w:val="en-US" w:eastAsia="zh-CN" w:bidi="ar-SA"/>
        </w:rPr>
        <w:t>72.77</w:t>
      </w:r>
      <w:r>
        <w:rPr>
          <w:rFonts w:hint="eastAsia" w:ascii="TimesNewRoman" w:hAnsi="TimesNewRoman" w:eastAsia="仿宋_GB2312" w:cs="TimesNewRoman"/>
          <w:sz w:val="32"/>
          <w:szCs w:val="32"/>
          <w:highlight w:val="none"/>
          <w:lang w:val="en-US" w:eastAsia="zh-CN"/>
        </w:rPr>
        <w:t>万元</w:t>
      </w:r>
      <w:r>
        <w:rPr>
          <w:rFonts w:hint="eastAsia" w:ascii="TimesNewRoman" w:hAnsi="TimesNewRoman" w:eastAsia="仿宋_GB2312" w:cs="TimesNewRoman"/>
          <w:sz w:val="32"/>
          <w:szCs w:val="32"/>
          <w:highlight w:val="none"/>
        </w:rPr>
        <w:t>。</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二、关于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年收入总表的说明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年收入预算</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万元，其中，本年收入</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w:t>
      </w:r>
    </w:p>
    <w:p>
      <w:pPr>
        <w:ind w:firstLine="643" w:firstLineChars="200"/>
        <w:rPr>
          <w:rFonts w:hint="eastAsia" w:ascii="TimesNewRoman" w:hAnsi="TimesNewRoman" w:eastAsia="仿宋_GB2312" w:cs="TimesNewRoman"/>
          <w:kern w:val="0"/>
          <w:sz w:val="32"/>
          <w:szCs w:val="32"/>
          <w:highlight w:val="none"/>
          <w:lang w:eastAsia="zh-CN"/>
        </w:rPr>
      </w:pPr>
      <w:r>
        <w:rPr>
          <w:rFonts w:hint="eastAsia" w:ascii="TimesNewRoman" w:hAnsi="TimesNewRoman" w:eastAsia="仿宋_GB2312" w:cs="TimesNewRoman"/>
          <w:b/>
          <w:kern w:val="0"/>
          <w:sz w:val="32"/>
          <w:szCs w:val="32"/>
          <w:highlight w:val="none"/>
        </w:rPr>
        <w:t>（一）本年收入</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b/>
          <w:kern w:val="0"/>
          <w:sz w:val="32"/>
          <w:szCs w:val="32"/>
          <w:highlight w:val="none"/>
        </w:rPr>
        <w:t>万元，</w:t>
      </w:r>
      <w:r>
        <w:rPr>
          <w:rFonts w:hint="eastAsia" w:ascii="TimesNewRoman" w:hAnsi="TimesNewRoman" w:eastAsia="仿宋_GB2312" w:cs="TimesNewRoman"/>
          <w:kern w:val="0"/>
          <w:sz w:val="32"/>
          <w:szCs w:val="32"/>
          <w:highlight w:val="none"/>
        </w:rPr>
        <w:t>主要包括：一般公共预算拨款收入</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100</w:t>
      </w:r>
      <w:r>
        <w:rPr>
          <w:rFonts w:hint="eastAsia" w:ascii="TimesNewRoman" w:hAnsi="TimesNewRoman" w:eastAsia="仿宋_GB2312" w:cs="TimesNewRoman"/>
          <w:kern w:val="0"/>
          <w:sz w:val="32"/>
          <w:szCs w:val="32"/>
          <w:highlight w:val="none"/>
        </w:rPr>
        <w:t>%，比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31.91</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7.07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新增工作人员和职工工资调整</w:t>
      </w:r>
      <w:r>
        <w:rPr>
          <w:rFonts w:hint="eastAsia" w:ascii="TimesNewRoman" w:hAnsi="TimesNewRoman" w:eastAsia="仿宋_GB2312" w:cs="TimesNewRoman"/>
          <w:kern w:val="0"/>
          <w:sz w:val="32"/>
          <w:szCs w:val="32"/>
          <w:highlight w:val="none"/>
        </w:rPr>
        <w:t>；政府性基金预算拨款收入</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%，财政专户管理资金收入</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年支出总表的说明</w:t>
      </w:r>
    </w:p>
    <w:p>
      <w:pPr>
        <w:adjustRightInd w:val="0"/>
        <w:snapToGrid w:val="0"/>
        <w:spacing w:line="600" w:lineRule="exact"/>
        <w:ind w:firstLine="640" w:firstLineChars="200"/>
        <w:rPr>
          <w:rFonts w:ascii="仿宋_GB2312" w:hAnsi="仿宋" w:eastAsia="仿宋_GB2312"/>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年支出预算</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31.91</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7.07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新增工作人员和职工工资调整</w:t>
      </w:r>
      <w:r>
        <w:rPr>
          <w:rFonts w:hint="eastAsia" w:ascii="TimesNewRoman" w:hAnsi="TimesNewRoman" w:eastAsia="仿宋_GB2312" w:cs="TimesNewRoman"/>
          <w:kern w:val="0"/>
          <w:sz w:val="32"/>
          <w:szCs w:val="32"/>
          <w:highlight w:val="none"/>
        </w:rPr>
        <w:t>。其中，基本支出</w:t>
      </w:r>
      <w:r>
        <w:rPr>
          <w:rFonts w:hint="eastAsia" w:ascii="仿宋_GB2312" w:hAnsi="仿宋_GB2312" w:eastAsia="仿宋_GB2312" w:cs="仿宋_GB2312"/>
          <w:kern w:val="0"/>
          <w:sz w:val="32"/>
          <w:szCs w:val="32"/>
          <w:highlight w:val="none"/>
          <w:lang w:val="en-US" w:eastAsia="zh-CN" w:bidi="ar-SA"/>
        </w:rPr>
        <w:t>471.37</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97.52</w:t>
      </w:r>
      <w:r>
        <w:rPr>
          <w:rFonts w:hint="eastAsia" w:ascii="TimesNewRoman" w:hAnsi="TimesNewRoman" w:eastAsia="仿宋_GB2312" w:cs="TimesNewRoman"/>
          <w:kern w:val="0"/>
          <w:sz w:val="32"/>
          <w:szCs w:val="32"/>
          <w:highlight w:val="none"/>
        </w:rPr>
        <w:t>%，主要用于保障机构日常运转、完成日常工作任务；项目支出</w:t>
      </w:r>
      <w:r>
        <w:rPr>
          <w:rFonts w:hint="eastAsia" w:ascii="仿宋_GB2312" w:hAnsi="仿宋_GB2312" w:eastAsia="仿宋_GB2312" w:cs="仿宋_GB2312"/>
          <w:kern w:val="0"/>
          <w:sz w:val="32"/>
          <w:szCs w:val="32"/>
          <w:highlight w:val="none"/>
          <w:lang w:val="en-US" w:eastAsia="zh-CN" w:bidi="ar-SA"/>
        </w:rPr>
        <w:t>12</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2.48</w:t>
      </w:r>
      <w:r>
        <w:rPr>
          <w:rFonts w:hint="eastAsia" w:ascii="TimesNewRoman" w:hAnsi="TimesNewRoman" w:eastAsia="仿宋_GB2312" w:cs="TimesNewRoman"/>
          <w:kern w:val="0"/>
          <w:sz w:val="32"/>
          <w:szCs w:val="32"/>
          <w:highlight w:val="none"/>
        </w:rPr>
        <w:t>%，主要用于</w:t>
      </w:r>
      <w:r>
        <w:rPr>
          <w:rFonts w:hint="eastAsia" w:ascii="仿宋_GB2312" w:hAnsi="仿宋" w:eastAsia="仿宋_GB2312"/>
          <w:sz w:val="32"/>
          <w:szCs w:val="32"/>
          <w:highlight w:val="none"/>
        </w:rPr>
        <w:t>物业费、水电费、维修费等，</w:t>
      </w:r>
      <w:r>
        <w:rPr>
          <w:rFonts w:hint="eastAsia" w:ascii="仿宋_GB2312" w:hAnsi="楷体" w:eastAsia="仿宋_GB2312"/>
          <w:sz w:val="32"/>
          <w:szCs w:val="32"/>
          <w:highlight w:val="none"/>
        </w:rPr>
        <w:t>保障正常办公运转，提高各科室办公效率</w:t>
      </w:r>
      <w:r>
        <w:rPr>
          <w:rFonts w:hint="eastAsia" w:ascii="仿宋_GB2312" w:hAnsi="仿宋" w:eastAsia="仿宋_GB2312"/>
          <w:sz w:val="32"/>
          <w:szCs w:val="32"/>
          <w:highlight w:val="none"/>
        </w:rPr>
        <w:t>。</w:t>
      </w:r>
    </w:p>
    <w:p>
      <w:pPr>
        <w:pStyle w:val="8"/>
        <w:adjustRightInd w:val="0"/>
        <w:snapToGrid w:val="0"/>
        <w:spacing w:line="560" w:lineRule="exact"/>
        <w:ind w:firstLine="640" w:firstLineChars="200"/>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四、关于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年财政拨款收支总表的说明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年财政拨款收支预算</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万元。收入按资金来源分为：一般公共预算拨款</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万元、政府性基金预算拨款</w:t>
      </w:r>
      <w:r>
        <w:rPr>
          <w:rFonts w:hint="eastAsia" w:ascii="仿宋_GB2312" w:hAnsi="仿宋_GB2312" w:eastAsia="仿宋_GB2312" w:cs="仿宋_GB2312"/>
          <w:kern w:val="0"/>
          <w:sz w:val="32"/>
          <w:szCs w:val="32"/>
          <w:highlight w:val="none"/>
          <w:lang w:val="en-US" w:eastAsia="zh-CN" w:bidi="ar-SA"/>
        </w:rPr>
        <w:t>0</w:t>
      </w:r>
      <w:r>
        <w:rPr>
          <w:rFonts w:hint="eastAsia" w:ascii="TimesNewRoman" w:hAnsi="TimesNewRoman" w:eastAsia="仿宋_GB2312" w:cs="TimesNewRoman"/>
          <w:kern w:val="0"/>
          <w:sz w:val="32"/>
          <w:szCs w:val="32"/>
          <w:highlight w:val="none"/>
        </w:rPr>
        <w:t>万元；按资金年度分为：本年财政拨款收入</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万元。支出按功能分类分为：一般公共服务支出</w:t>
      </w:r>
      <w:r>
        <w:rPr>
          <w:rFonts w:hint="eastAsia" w:ascii="仿宋_GB2312" w:hAnsi="仿宋_GB2312" w:eastAsia="仿宋_GB2312" w:cs="仿宋_GB2312"/>
          <w:kern w:val="0"/>
          <w:sz w:val="32"/>
          <w:szCs w:val="32"/>
          <w:highlight w:val="none"/>
          <w:lang w:val="en-US" w:eastAsia="zh-CN" w:bidi="ar-SA"/>
        </w:rPr>
        <w:t>322.41</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66.7</w:t>
      </w:r>
      <w:r>
        <w:rPr>
          <w:rFonts w:hint="eastAsia" w:ascii="TimesNewRoman" w:hAnsi="TimesNewRoman" w:eastAsia="仿宋_GB2312" w:cs="TimesNewRoman"/>
          <w:kern w:val="0"/>
          <w:sz w:val="32"/>
          <w:szCs w:val="32"/>
          <w:highlight w:val="none"/>
        </w:rPr>
        <w:t>%；社会保障和就业支出</w:t>
      </w:r>
      <w:r>
        <w:rPr>
          <w:rFonts w:hint="eastAsia" w:ascii="仿宋_GB2312" w:hAnsi="仿宋_GB2312" w:eastAsia="仿宋_GB2312" w:cs="仿宋_GB2312"/>
          <w:kern w:val="0"/>
          <w:sz w:val="32"/>
          <w:szCs w:val="32"/>
          <w:highlight w:val="none"/>
          <w:lang w:val="en-US" w:eastAsia="zh-CN" w:bidi="ar-SA"/>
        </w:rPr>
        <w:t>68.05</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14.08</w:t>
      </w:r>
      <w:r>
        <w:rPr>
          <w:rFonts w:hint="eastAsia" w:ascii="TimesNewRoman" w:hAnsi="TimesNewRoman" w:eastAsia="仿宋_GB2312" w:cs="TimesNewRoman"/>
          <w:kern w:val="0"/>
          <w:sz w:val="32"/>
          <w:szCs w:val="32"/>
          <w:highlight w:val="none"/>
        </w:rPr>
        <w:t>%；卫生健康支出</w:t>
      </w:r>
      <w:r>
        <w:rPr>
          <w:rFonts w:hint="eastAsia" w:ascii="仿宋_GB2312" w:hAnsi="仿宋_GB2312" w:eastAsia="仿宋_GB2312" w:cs="仿宋_GB2312"/>
          <w:kern w:val="0"/>
          <w:sz w:val="32"/>
          <w:szCs w:val="32"/>
          <w:highlight w:val="none"/>
          <w:lang w:val="en-US" w:eastAsia="zh-CN" w:bidi="ar-SA"/>
        </w:rPr>
        <w:t>20.14</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4.17</w:t>
      </w:r>
      <w:r>
        <w:rPr>
          <w:rFonts w:hint="eastAsia" w:ascii="TimesNewRoman" w:hAnsi="TimesNewRoman" w:eastAsia="仿宋_GB2312" w:cs="TimesNewRoman"/>
          <w:kern w:val="0"/>
          <w:sz w:val="32"/>
          <w:szCs w:val="32"/>
          <w:highlight w:val="none"/>
        </w:rPr>
        <w:t>%；住房保障支出</w:t>
      </w:r>
      <w:r>
        <w:rPr>
          <w:rFonts w:hint="eastAsia" w:ascii="仿宋_GB2312" w:hAnsi="仿宋_GB2312" w:eastAsia="仿宋_GB2312" w:cs="仿宋_GB2312"/>
          <w:kern w:val="0"/>
          <w:sz w:val="32"/>
          <w:szCs w:val="32"/>
          <w:highlight w:val="none"/>
          <w:lang w:val="en-US" w:eastAsia="zh-CN" w:bidi="ar-SA"/>
        </w:rPr>
        <w:t>72.77</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15.05</w:t>
      </w:r>
      <w:r>
        <w:rPr>
          <w:rFonts w:hint="eastAsia" w:ascii="TimesNewRoman" w:hAnsi="TimesNewRoman" w:eastAsia="仿宋_GB2312" w:cs="TimesNewRoman"/>
          <w:kern w:val="0"/>
          <w:sz w:val="32"/>
          <w:szCs w:val="32"/>
          <w:highlight w:val="none"/>
        </w:rPr>
        <w:t>%；。</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五、关于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年一般公共预算支出表的说明</w:t>
      </w:r>
    </w:p>
    <w:p>
      <w:pPr>
        <w:pStyle w:val="8"/>
        <w:adjustRightInd w:val="0"/>
        <w:snapToGrid w:val="0"/>
        <w:spacing w:line="560" w:lineRule="exact"/>
        <w:ind w:firstLine="630" w:firstLineChars="196"/>
        <w:rPr>
          <w:rFonts w:ascii="TimesNewRoman" w:hAnsi="TimesNewRoman" w:eastAsia="楷体_GB2312" w:cs="TimesNewRoman"/>
          <w:b/>
          <w:sz w:val="32"/>
          <w:szCs w:val="32"/>
          <w:highlight w:val="none"/>
        </w:rPr>
      </w:pPr>
      <w:r>
        <w:rPr>
          <w:rFonts w:hint="eastAsia" w:ascii="TimesNewRoman" w:hAnsi="TimesNewRoman" w:eastAsia="楷体_GB2312" w:cs="TimesNewRoman"/>
          <w:b/>
          <w:sz w:val="32"/>
          <w:szCs w:val="32"/>
          <w:highlight w:val="none"/>
        </w:rPr>
        <w:t>（一）一般公共预算支出规模变化情况。</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年一般公共预算支出</w:t>
      </w:r>
      <w:r>
        <w:rPr>
          <w:rFonts w:hint="eastAsia" w:ascii="仿宋_GB2312" w:hAnsi="仿宋_GB2312" w:eastAsia="仿宋_GB2312" w:cs="仿宋_GB2312"/>
          <w:kern w:val="0"/>
          <w:sz w:val="32"/>
          <w:szCs w:val="32"/>
          <w:highlight w:val="none"/>
          <w:lang w:val="en-US" w:eastAsia="zh-CN" w:bidi="ar-SA"/>
        </w:rPr>
        <w:t>483.37</w:t>
      </w:r>
      <w:r>
        <w:rPr>
          <w:rFonts w:hint="eastAsia" w:ascii="TimesNewRoman" w:hAnsi="TimesNewRoman" w:eastAsia="仿宋_GB2312" w:cs="TimesNewRoman"/>
          <w:kern w:val="0"/>
          <w:sz w:val="32"/>
          <w:szCs w:val="32"/>
          <w:highlight w:val="none"/>
        </w:rPr>
        <w:t>万元，比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31.91</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7.07</w:t>
      </w:r>
      <w:r>
        <w:rPr>
          <w:rFonts w:hint="eastAsia" w:ascii="TimesNewRoman" w:hAnsi="TimesNewRoman" w:eastAsia="仿宋_GB2312" w:cs="TimesNewRoman"/>
          <w:kern w:val="0"/>
          <w:sz w:val="32"/>
          <w:szCs w:val="32"/>
          <w:highlight w:val="none"/>
        </w:rPr>
        <w:t>%，主要原因：一是</w:t>
      </w:r>
      <w:r>
        <w:rPr>
          <w:rFonts w:hint="eastAsia" w:ascii="TimesNewRoman" w:hAnsi="TimesNewRoman" w:eastAsia="仿宋_GB2312" w:cs="TimesNewRoman"/>
          <w:kern w:val="0"/>
          <w:sz w:val="32"/>
          <w:szCs w:val="32"/>
          <w:highlight w:val="none"/>
          <w:lang w:eastAsia="zh-CN"/>
        </w:rPr>
        <w:t>新增工作人员</w:t>
      </w:r>
      <w:r>
        <w:rPr>
          <w:rFonts w:hint="eastAsia" w:ascii="TimesNewRoman" w:hAnsi="TimesNewRoman" w:eastAsia="仿宋_GB2312" w:cs="TimesNewRoman"/>
          <w:kern w:val="0"/>
          <w:sz w:val="32"/>
          <w:szCs w:val="32"/>
          <w:highlight w:val="none"/>
        </w:rPr>
        <w:t>；二是</w:t>
      </w:r>
      <w:r>
        <w:rPr>
          <w:rFonts w:hint="eastAsia" w:ascii="TimesNewRoman" w:hAnsi="TimesNewRoman" w:eastAsia="仿宋_GB2312" w:cs="TimesNewRoman"/>
          <w:kern w:val="0"/>
          <w:sz w:val="32"/>
          <w:szCs w:val="32"/>
          <w:highlight w:val="none"/>
          <w:lang w:eastAsia="zh-CN"/>
        </w:rPr>
        <w:t>工资调整</w:t>
      </w:r>
      <w:r>
        <w:rPr>
          <w:rFonts w:hint="eastAsia" w:ascii="TimesNewRoman" w:hAnsi="TimesNewRoman" w:eastAsia="仿宋_GB2312" w:cs="TimesNewRoman"/>
          <w:kern w:val="0"/>
          <w:sz w:val="32"/>
          <w:szCs w:val="32"/>
          <w:highlight w:val="none"/>
        </w:rPr>
        <w:t>。</w:t>
      </w:r>
    </w:p>
    <w:p>
      <w:pPr>
        <w:pStyle w:val="8"/>
        <w:adjustRightInd w:val="0"/>
        <w:snapToGrid w:val="0"/>
        <w:spacing w:line="560" w:lineRule="exact"/>
        <w:ind w:firstLine="630" w:firstLineChars="196"/>
        <w:rPr>
          <w:rFonts w:ascii="TimesNewRoman" w:hAnsi="TimesNewRoman" w:eastAsia="楷体_GB2312" w:cs="TimesNewRoman"/>
          <w:b/>
          <w:sz w:val="32"/>
          <w:szCs w:val="32"/>
          <w:highlight w:val="none"/>
        </w:rPr>
      </w:pPr>
      <w:r>
        <w:rPr>
          <w:rFonts w:hint="eastAsia" w:ascii="TimesNewRoman" w:hAnsi="TimesNewRoman" w:eastAsia="楷体_GB2312" w:cs="TimesNewRoman"/>
          <w:b/>
          <w:sz w:val="32"/>
          <w:szCs w:val="32"/>
          <w:highlight w:val="none"/>
        </w:rPr>
        <w:t>（二）一般公共预算支出结构情况。</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一般公共服务支出</w:t>
      </w:r>
      <w:r>
        <w:rPr>
          <w:rFonts w:hint="eastAsia" w:ascii="仿宋_GB2312" w:hAnsi="仿宋_GB2312" w:eastAsia="仿宋_GB2312" w:cs="仿宋_GB2312"/>
          <w:kern w:val="0"/>
          <w:sz w:val="32"/>
          <w:szCs w:val="32"/>
          <w:highlight w:val="none"/>
          <w:lang w:val="en-US" w:eastAsia="zh-CN" w:bidi="ar-SA"/>
        </w:rPr>
        <w:t>322.41</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66.7</w:t>
      </w:r>
      <w:r>
        <w:rPr>
          <w:rFonts w:hint="eastAsia" w:ascii="TimesNewRoman" w:hAnsi="TimesNewRoman" w:eastAsia="仿宋_GB2312" w:cs="TimesNewRoman"/>
          <w:kern w:val="0"/>
          <w:sz w:val="32"/>
          <w:szCs w:val="32"/>
          <w:highlight w:val="none"/>
        </w:rPr>
        <w:t>%；社会保障和就业支出</w:t>
      </w:r>
      <w:r>
        <w:rPr>
          <w:rFonts w:hint="eastAsia" w:ascii="仿宋_GB2312" w:hAnsi="仿宋_GB2312" w:eastAsia="仿宋_GB2312" w:cs="仿宋_GB2312"/>
          <w:kern w:val="0"/>
          <w:sz w:val="32"/>
          <w:szCs w:val="32"/>
          <w:highlight w:val="none"/>
          <w:lang w:val="en-US" w:eastAsia="zh-CN" w:bidi="ar-SA"/>
        </w:rPr>
        <w:t>68.05</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14.08</w:t>
      </w:r>
      <w:r>
        <w:rPr>
          <w:rFonts w:hint="eastAsia" w:ascii="TimesNewRoman" w:hAnsi="TimesNewRoman" w:eastAsia="仿宋_GB2312" w:cs="TimesNewRoman"/>
          <w:kern w:val="0"/>
          <w:sz w:val="32"/>
          <w:szCs w:val="32"/>
          <w:highlight w:val="none"/>
        </w:rPr>
        <w:t>%；卫生健康支出</w:t>
      </w:r>
      <w:r>
        <w:rPr>
          <w:rFonts w:hint="eastAsia" w:ascii="仿宋_GB2312" w:hAnsi="仿宋_GB2312" w:eastAsia="仿宋_GB2312" w:cs="仿宋_GB2312"/>
          <w:kern w:val="0"/>
          <w:sz w:val="32"/>
          <w:szCs w:val="32"/>
          <w:highlight w:val="none"/>
          <w:lang w:val="en-US" w:eastAsia="zh-CN" w:bidi="ar-SA"/>
        </w:rPr>
        <w:t>20.14</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4.17</w:t>
      </w:r>
      <w:r>
        <w:rPr>
          <w:rFonts w:hint="eastAsia" w:ascii="TimesNewRoman" w:hAnsi="TimesNewRoman" w:eastAsia="仿宋_GB2312" w:cs="TimesNewRoman"/>
          <w:kern w:val="0"/>
          <w:sz w:val="32"/>
          <w:szCs w:val="32"/>
          <w:highlight w:val="none"/>
        </w:rPr>
        <w:t>%；住房保障支出</w:t>
      </w:r>
      <w:r>
        <w:rPr>
          <w:rFonts w:hint="eastAsia" w:ascii="仿宋_GB2312" w:hAnsi="仿宋_GB2312" w:eastAsia="仿宋_GB2312" w:cs="仿宋_GB2312"/>
          <w:kern w:val="0"/>
          <w:sz w:val="32"/>
          <w:szCs w:val="32"/>
          <w:highlight w:val="none"/>
          <w:lang w:val="en-US" w:eastAsia="zh-CN" w:bidi="ar-SA"/>
        </w:rPr>
        <w:t>72.77</w:t>
      </w:r>
      <w:r>
        <w:rPr>
          <w:rFonts w:hint="eastAsia" w:ascii="TimesNewRoman" w:hAnsi="TimesNewRoman" w:eastAsia="仿宋_GB2312" w:cs="TimesNewRoman"/>
          <w:kern w:val="0"/>
          <w:sz w:val="32"/>
          <w:szCs w:val="32"/>
          <w:highlight w:val="none"/>
        </w:rPr>
        <w:t>万元，占</w:t>
      </w:r>
      <w:r>
        <w:rPr>
          <w:rFonts w:hint="eastAsia" w:ascii="仿宋_GB2312" w:hAnsi="仿宋_GB2312" w:eastAsia="仿宋_GB2312" w:cs="仿宋_GB2312"/>
          <w:kern w:val="0"/>
          <w:sz w:val="32"/>
          <w:szCs w:val="32"/>
          <w:highlight w:val="none"/>
          <w:lang w:val="en-US" w:eastAsia="zh-CN" w:bidi="ar-SA"/>
        </w:rPr>
        <w:t>15.05</w:t>
      </w:r>
      <w:r>
        <w:rPr>
          <w:rFonts w:hint="eastAsia" w:ascii="TimesNewRoman" w:hAnsi="TimesNewRoman" w:eastAsia="仿宋_GB2312" w:cs="TimesNewRoman"/>
          <w:kern w:val="0"/>
          <w:sz w:val="32"/>
          <w:szCs w:val="32"/>
          <w:highlight w:val="none"/>
        </w:rPr>
        <w:t>%。</w:t>
      </w:r>
    </w:p>
    <w:p>
      <w:pPr>
        <w:pStyle w:val="8"/>
        <w:adjustRightInd w:val="0"/>
        <w:snapToGrid w:val="0"/>
        <w:spacing w:line="560" w:lineRule="exact"/>
        <w:ind w:firstLine="630" w:firstLineChars="196"/>
        <w:rPr>
          <w:rFonts w:ascii="TimesNewRoman" w:hAnsi="TimesNewRoman" w:eastAsia="楷体_GB2312" w:cs="TimesNewRoman"/>
          <w:b/>
          <w:sz w:val="32"/>
          <w:szCs w:val="32"/>
          <w:highlight w:val="none"/>
        </w:rPr>
      </w:pPr>
      <w:r>
        <w:rPr>
          <w:rFonts w:hint="eastAsia" w:ascii="TimesNewRoman" w:hAnsi="TimesNewRoman" w:eastAsia="楷体_GB2312" w:cs="TimesNewRoman"/>
          <w:b/>
          <w:sz w:val="32"/>
          <w:szCs w:val="32"/>
          <w:highlight w:val="none"/>
        </w:rPr>
        <w:t>（三）一般公共预算支出具体使用情况。</w:t>
      </w:r>
    </w:p>
    <w:p>
      <w:pPr>
        <w:ind w:firstLine="640" w:firstLineChars="200"/>
        <w:rPr>
          <w:rFonts w:ascii="TimesNewRoman" w:hAnsi="TimesNewRoman" w:eastAsia="仿宋_GB2312" w:cs="TimesNewRoman"/>
          <w:kern w:val="0"/>
          <w:sz w:val="32"/>
          <w:szCs w:val="32"/>
          <w:highlight w:val="none"/>
        </w:rPr>
      </w:pPr>
      <w:r>
        <w:rPr>
          <w:rFonts w:hint="eastAsia" w:ascii="仿宋_GB2312" w:hAnsi="仿宋_GB2312" w:eastAsia="仿宋_GB2312" w:cs="仿宋_GB2312"/>
          <w:kern w:val="0"/>
          <w:sz w:val="32"/>
          <w:szCs w:val="32"/>
          <w:highlight w:val="none"/>
          <w:lang w:val="en-US" w:eastAsia="zh-CN" w:bidi="ar-SA"/>
        </w:rPr>
        <w:t>1、</w:t>
      </w:r>
      <w:r>
        <w:rPr>
          <w:rFonts w:hint="eastAsia" w:ascii="TimesNewRoman" w:hAnsi="TimesNewRoman" w:eastAsia="仿宋_GB2312" w:cs="TimesNewRoman"/>
          <w:b/>
          <w:bCs/>
          <w:kern w:val="0"/>
          <w:sz w:val="32"/>
          <w:szCs w:val="32"/>
          <w:highlight w:val="none"/>
        </w:rPr>
        <w:t>一般公共服务支出（类）</w:t>
      </w:r>
      <w:r>
        <w:rPr>
          <w:rFonts w:hint="eastAsia" w:ascii="TimesNewRoman" w:hAnsi="TimesNewRoman" w:eastAsia="仿宋_GB2312" w:cs="TimesNewRoman"/>
          <w:b/>
          <w:bCs/>
          <w:kern w:val="0"/>
          <w:sz w:val="32"/>
          <w:szCs w:val="32"/>
          <w:highlight w:val="none"/>
          <w:lang w:eastAsia="zh-CN"/>
        </w:rPr>
        <w:t>商贸</w:t>
      </w:r>
      <w:r>
        <w:rPr>
          <w:rFonts w:hint="eastAsia" w:ascii="TimesNewRoman" w:hAnsi="TimesNewRoman" w:eastAsia="仿宋_GB2312" w:cs="TimesNewRoman"/>
          <w:b/>
          <w:bCs/>
          <w:kern w:val="0"/>
          <w:sz w:val="32"/>
          <w:szCs w:val="32"/>
          <w:highlight w:val="none"/>
        </w:rPr>
        <w:t>事务（款）</w:t>
      </w:r>
      <w:r>
        <w:rPr>
          <w:rFonts w:hint="eastAsia" w:ascii="TimesNewRoman" w:hAnsi="TimesNewRoman" w:eastAsia="仿宋_GB2312" w:cs="TimesNewRoman"/>
          <w:b/>
          <w:bCs/>
          <w:kern w:val="0"/>
          <w:sz w:val="32"/>
          <w:szCs w:val="32"/>
          <w:highlight w:val="none"/>
          <w:lang w:eastAsia="zh-CN"/>
        </w:rPr>
        <w:t>事业</w:t>
      </w:r>
      <w:r>
        <w:rPr>
          <w:rFonts w:hint="eastAsia" w:ascii="TimesNewRoman" w:hAnsi="TimesNewRoman" w:eastAsia="仿宋_GB2312" w:cs="TimesNewRoman"/>
          <w:b/>
          <w:bCs/>
          <w:kern w:val="0"/>
          <w:sz w:val="32"/>
          <w:szCs w:val="32"/>
          <w:highlight w:val="none"/>
        </w:rPr>
        <w:t>运行（项）</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年预算</w:t>
      </w:r>
      <w:r>
        <w:rPr>
          <w:rFonts w:hint="eastAsia" w:ascii="仿宋_GB2312" w:hAnsi="仿宋_GB2312" w:eastAsia="仿宋_GB2312" w:cs="仿宋_GB2312"/>
          <w:kern w:val="0"/>
          <w:sz w:val="32"/>
          <w:szCs w:val="32"/>
          <w:highlight w:val="none"/>
          <w:lang w:val="en-US" w:eastAsia="zh-CN" w:bidi="ar-SA"/>
        </w:rPr>
        <w:t>322.41</w:t>
      </w:r>
      <w:r>
        <w:rPr>
          <w:rFonts w:hint="eastAsia" w:ascii="TimesNewRoman" w:hAnsi="TimesNewRoman" w:eastAsia="仿宋_GB2312" w:cs="TimesNewRoman"/>
          <w:kern w:val="0"/>
          <w:sz w:val="32"/>
          <w:szCs w:val="32"/>
          <w:highlight w:val="none"/>
        </w:rPr>
        <w:t>万元，比</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年预算增加</w:t>
      </w:r>
      <w:r>
        <w:rPr>
          <w:rFonts w:hint="eastAsia" w:ascii="仿宋_GB2312" w:hAnsi="仿宋_GB2312" w:eastAsia="仿宋_GB2312" w:cs="仿宋_GB2312"/>
          <w:kern w:val="0"/>
          <w:sz w:val="32"/>
          <w:szCs w:val="32"/>
          <w:highlight w:val="none"/>
          <w:lang w:val="en-US" w:eastAsia="zh-CN" w:bidi="ar-SA"/>
        </w:rPr>
        <w:t>20.24</w:t>
      </w:r>
      <w:r>
        <w:rPr>
          <w:rFonts w:hint="eastAsia" w:ascii="TimesNewRoman" w:hAnsi="TimesNewRoman" w:eastAsia="仿宋_GB2312" w:cs="TimesNewRoman"/>
          <w:kern w:val="0"/>
          <w:sz w:val="32"/>
          <w:szCs w:val="32"/>
          <w:highlight w:val="none"/>
        </w:rPr>
        <w:t>万元，增长</w:t>
      </w:r>
      <w:r>
        <w:rPr>
          <w:rFonts w:hint="eastAsia" w:ascii="仿宋_GB2312" w:hAnsi="仿宋_GB2312" w:eastAsia="仿宋_GB2312" w:cs="仿宋_GB2312"/>
          <w:kern w:val="0"/>
          <w:sz w:val="32"/>
          <w:szCs w:val="32"/>
          <w:highlight w:val="none"/>
          <w:lang w:val="en-US" w:eastAsia="zh-CN" w:bidi="ar-SA"/>
        </w:rPr>
        <w:t>6.7</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增长</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新增工作人员和职工工资调整</w:t>
      </w:r>
      <w:r>
        <w:rPr>
          <w:rFonts w:hint="eastAsia" w:ascii="TimesNewRoman" w:hAnsi="TimesNewRoman" w:eastAsia="仿宋_GB2312" w:cs="TimesNewRoman"/>
          <w:kern w:val="0"/>
          <w:sz w:val="32"/>
          <w:szCs w:val="32"/>
          <w:highlight w:val="none"/>
        </w:rPr>
        <w:t>。</w:t>
      </w:r>
    </w:p>
    <w:p>
      <w:pPr>
        <w:ind w:firstLine="640" w:firstLineChars="200"/>
        <w:rPr>
          <w:rFonts w:ascii="TimesNewRoman" w:hAnsi="TimesNewRoman" w:eastAsia="仿宋_GB2312" w:cs="TimesNewRoman"/>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TimesNewRoman" w:hAnsi="TimesNewRoman" w:eastAsia="仿宋_GB2312" w:cs="TimesNewRoman"/>
          <w:b/>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5</w:t>
      </w:r>
      <w:r>
        <w:rPr>
          <w:rFonts w:hint="eastAsia" w:ascii="TimesNewRoman" w:hAnsi="TimesNewRoman" w:eastAsia="仿宋_GB2312" w:cs="TimesNewRoman"/>
          <w:color w:val="auto"/>
          <w:kern w:val="0"/>
          <w:sz w:val="32"/>
          <w:szCs w:val="32"/>
          <w:highlight w:val="none"/>
        </w:rPr>
        <w:t>年预算</w:t>
      </w:r>
      <w:r>
        <w:rPr>
          <w:rFonts w:hint="eastAsia" w:ascii="仿宋_GB2312" w:hAnsi="仿宋_GB2312" w:eastAsia="仿宋_GB2312" w:cs="仿宋_GB2312"/>
          <w:color w:val="auto"/>
          <w:kern w:val="0"/>
          <w:sz w:val="32"/>
          <w:szCs w:val="32"/>
          <w:highlight w:val="none"/>
          <w:lang w:val="en-US" w:eastAsia="zh-CN"/>
        </w:rPr>
        <w:t>42.69</w:t>
      </w:r>
      <w:r>
        <w:rPr>
          <w:rFonts w:hint="eastAsia" w:ascii="TimesNewRoman" w:hAnsi="TimesNewRoman" w:eastAsia="仿宋_GB2312" w:cs="TimesNewRoman"/>
          <w:color w:val="auto"/>
          <w:kern w:val="0"/>
          <w:sz w:val="32"/>
          <w:szCs w:val="32"/>
          <w:highlight w:val="none"/>
        </w:rPr>
        <w:t>万元，比</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TimesNewRoman" w:hAnsi="TimesNewRoman" w:eastAsia="仿宋_GB2312" w:cs="TimesNewRoman"/>
          <w:color w:val="auto"/>
          <w:kern w:val="0"/>
          <w:sz w:val="32"/>
          <w:szCs w:val="32"/>
          <w:highlight w:val="none"/>
        </w:rPr>
        <w:t>年预算增加</w:t>
      </w:r>
      <w:r>
        <w:rPr>
          <w:rFonts w:hint="eastAsia" w:ascii="仿宋_GB2312" w:hAnsi="仿宋_GB2312" w:eastAsia="仿宋_GB2312" w:cs="仿宋_GB2312"/>
          <w:color w:val="auto"/>
          <w:kern w:val="0"/>
          <w:sz w:val="32"/>
          <w:szCs w:val="32"/>
          <w:highlight w:val="none"/>
          <w:lang w:val="en-US" w:eastAsia="zh-CN"/>
        </w:rPr>
        <w:t>2.81</w:t>
      </w:r>
      <w:r>
        <w:rPr>
          <w:rFonts w:hint="eastAsia" w:ascii="TimesNewRoman" w:hAnsi="TimesNewRoman" w:eastAsia="仿宋_GB2312" w:cs="TimesNewRoman"/>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7.05</w:t>
      </w:r>
      <w:r>
        <w:rPr>
          <w:rFonts w:ascii="TimesNewRoman" w:hAnsi="TimesNewRoman" w:eastAsia="仿宋_GB2312" w:cs="TimesNewRoman"/>
          <w:color w:val="auto"/>
          <w:kern w:val="0"/>
          <w:sz w:val="32"/>
          <w:szCs w:val="32"/>
          <w:highlight w:val="none"/>
        </w:rPr>
        <w:t>%</w:t>
      </w:r>
      <w:r>
        <w:rPr>
          <w:rFonts w:hint="eastAsia" w:ascii="TimesNewRoman" w:hAnsi="TimesNewRoman" w:eastAsia="仿宋_GB2312" w:cs="TimesNewRoman"/>
          <w:color w:val="auto"/>
          <w:kern w:val="0"/>
          <w:sz w:val="32"/>
          <w:szCs w:val="32"/>
          <w:highlight w:val="none"/>
        </w:rPr>
        <w:t>，</w:t>
      </w:r>
      <w:r>
        <w:rPr>
          <w:rFonts w:hint="eastAsia" w:ascii="TimesNewRoman" w:hAnsi="TimesNewRoman" w:eastAsia="仿宋_GB2312" w:cs="TimesNewRoman"/>
          <w:color w:val="auto"/>
          <w:kern w:val="0"/>
          <w:sz w:val="32"/>
          <w:szCs w:val="32"/>
          <w:highlight w:val="none"/>
          <w:lang w:eastAsia="zh-CN"/>
        </w:rPr>
        <w:t>增长</w:t>
      </w:r>
      <w:r>
        <w:rPr>
          <w:rFonts w:hint="eastAsia" w:ascii="TimesNewRoman" w:hAnsi="TimesNewRoman" w:eastAsia="仿宋_GB2312" w:cs="TimesNewRoman"/>
          <w:color w:val="auto"/>
          <w:kern w:val="0"/>
          <w:sz w:val="32"/>
          <w:szCs w:val="32"/>
          <w:highlight w:val="none"/>
        </w:rPr>
        <w:t>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ind w:firstLine="640" w:firstLineChars="200"/>
        <w:rPr>
          <w:rFonts w:ascii="TimesNewRoman" w:hAnsi="TimesNewRoman" w:eastAsia="仿宋_GB2312" w:cs="TimesNewRoman"/>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TimesNewRoman" w:hAnsi="TimesNewRoman" w:eastAsia="仿宋_GB2312" w:cs="TimesNewRoman"/>
          <w:b/>
          <w:color w:val="auto"/>
          <w:kern w:val="0"/>
          <w:sz w:val="32"/>
          <w:szCs w:val="32"/>
          <w:highlight w:val="none"/>
        </w:rPr>
        <w:t>社会保障和就业支出（类）行政事业单位养老支出（款）机</w:t>
      </w:r>
      <w:r>
        <w:rPr>
          <w:rFonts w:hint="eastAsia" w:ascii="TimesNewRoman" w:hAnsi="TimesNewRoman" w:eastAsia="仿宋_GB2312" w:cs="TimesNewRoman"/>
          <w:b/>
          <w:kern w:val="0"/>
          <w:sz w:val="32"/>
          <w:szCs w:val="32"/>
          <w:highlight w:val="none"/>
        </w:rPr>
        <w:t>关事业单位职业年金缴费支出（项）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21.34</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7.02</w:t>
      </w:r>
      <w:r>
        <w:rPr>
          <w:rFonts w:ascii="仿宋_GB2312" w:hAnsi="仿宋" w:eastAsia="仿宋_GB2312"/>
          <w:sz w:val="32"/>
          <w:szCs w:val="32"/>
          <w:highlight w:val="none"/>
        </w:rPr>
        <w:t>%</w:t>
      </w:r>
      <w:r>
        <w:rPr>
          <w:rFonts w:hint="eastAsia" w:ascii="仿宋_GB2312" w:hAnsi="仿宋" w:eastAsia="仿宋_GB2312"/>
          <w:sz w:val="32"/>
          <w:szCs w:val="32"/>
          <w:highlight w:val="none"/>
        </w:rPr>
        <w:t>，增长原因主要是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ind w:firstLine="643" w:firstLineChars="200"/>
        <w:rPr>
          <w:rFonts w:ascii="TimesNewRoman" w:hAnsi="TimesNewRoman" w:eastAsia="仿宋_GB2312" w:cs="TimesNewRoman"/>
          <w:color w:val="auto"/>
          <w:kern w:val="0"/>
          <w:sz w:val="32"/>
          <w:szCs w:val="32"/>
          <w:highlight w:val="none"/>
        </w:rPr>
      </w:pPr>
      <w:r>
        <w:rPr>
          <w:rFonts w:ascii="仿宋_GB2312" w:hAnsi="仿宋" w:eastAsia="仿宋_GB2312"/>
          <w:b/>
          <w:sz w:val="32"/>
          <w:szCs w:val="32"/>
          <w:highlight w:val="none"/>
        </w:rPr>
        <w:t>4</w:t>
      </w:r>
      <w:r>
        <w:rPr>
          <w:rFonts w:hint="eastAsia" w:ascii="仿宋_GB2312" w:hAnsi="仿宋" w:eastAsia="仿宋_GB2312"/>
          <w:b/>
          <w:sz w:val="32"/>
          <w:szCs w:val="32"/>
          <w:highlight w:val="none"/>
        </w:rPr>
        <w:t>社会保障和就业支出（类）其他社会保障和就业支出（款）其他社会保险和就业支出（项）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37</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ascii="仿宋_GB2312" w:hAnsi="仿宋" w:eastAsia="仿宋_GB2312"/>
          <w:sz w:val="32"/>
          <w:szCs w:val="32"/>
          <w:highlight w:val="none"/>
        </w:rPr>
        <w:t>0.</w:t>
      </w:r>
      <w:r>
        <w:rPr>
          <w:rFonts w:hint="eastAsia" w:ascii="仿宋_GB2312" w:hAnsi="仿宋" w:eastAsia="仿宋_GB2312"/>
          <w:sz w:val="32"/>
          <w:szCs w:val="32"/>
          <w:highlight w:val="none"/>
          <w:lang w:val="en-US" w:eastAsia="zh-CN"/>
        </w:rPr>
        <w:t>09</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7.03</w:t>
      </w:r>
      <w:r>
        <w:rPr>
          <w:rFonts w:ascii="仿宋_GB2312" w:hAnsi="仿宋" w:eastAsia="仿宋_GB2312"/>
          <w:sz w:val="32"/>
          <w:szCs w:val="32"/>
          <w:highlight w:val="none"/>
        </w:rPr>
        <w:t>%</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增长</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adjustRightInd w:val="0"/>
        <w:snapToGrid w:val="0"/>
        <w:spacing w:line="600" w:lineRule="exact"/>
        <w:ind w:firstLine="643" w:firstLineChars="200"/>
        <w:rPr>
          <w:rFonts w:ascii="仿宋_GB2312" w:hAnsi="仿宋" w:eastAsia="仿宋_GB2312"/>
          <w:sz w:val="32"/>
          <w:szCs w:val="32"/>
          <w:highlight w:val="none"/>
        </w:rPr>
      </w:pPr>
      <w:r>
        <w:rPr>
          <w:rFonts w:ascii="仿宋_GB2312" w:hAnsi="仿宋" w:eastAsia="仿宋_GB2312"/>
          <w:b/>
          <w:sz w:val="32"/>
          <w:szCs w:val="32"/>
          <w:highlight w:val="none"/>
        </w:rPr>
        <w:t>5.</w:t>
      </w:r>
      <w:r>
        <w:rPr>
          <w:rFonts w:hint="eastAsia" w:ascii="仿宋_GB2312" w:hAnsi="仿宋" w:eastAsia="仿宋_GB2312"/>
          <w:b/>
          <w:sz w:val="32"/>
          <w:szCs w:val="32"/>
          <w:highlight w:val="none"/>
        </w:rPr>
        <w:t>卫生健康支出（类）行政事业单位医疗（款）事业单位医疗（项）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14.07</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eastAsia="zh-CN"/>
        </w:rPr>
        <w:t>减少</w:t>
      </w:r>
      <w:r>
        <w:rPr>
          <w:rFonts w:hint="eastAsia" w:ascii="仿宋_GB2312" w:hAnsi="仿宋" w:eastAsia="仿宋_GB2312"/>
          <w:sz w:val="32"/>
          <w:szCs w:val="32"/>
          <w:highlight w:val="none"/>
          <w:lang w:val="en-US" w:eastAsia="zh-CN"/>
        </w:rPr>
        <w:t>1.34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下降</w:t>
      </w:r>
      <w:r>
        <w:rPr>
          <w:rFonts w:hint="eastAsia" w:ascii="仿宋_GB2312" w:hAnsi="仿宋" w:eastAsia="仿宋_GB2312"/>
          <w:sz w:val="32"/>
          <w:szCs w:val="32"/>
          <w:highlight w:val="none"/>
          <w:lang w:val="en-US" w:eastAsia="zh-CN"/>
        </w:rPr>
        <w:t>8.7</w:t>
      </w:r>
      <w:r>
        <w:rPr>
          <w:rFonts w:ascii="仿宋_GB2312" w:hAnsi="仿宋" w:eastAsia="仿宋_GB2312"/>
          <w:sz w:val="32"/>
          <w:szCs w:val="32"/>
          <w:highlight w:val="none"/>
        </w:rPr>
        <w:t>%</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下降</w:t>
      </w:r>
      <w:r>
        <w:rPr>
          <w:rFonts w:hint="eastAsia" w:ascii="TimesNewRoman" w:hAnsi="TimesNewRoman" w:eastAsia="仿宋_GB2312" w:cs="TimesNewRoman"/>
          <w:kern w:val="0"/>
          <w:sz w:val="32"/>
          <w:szCs w:val="32"/>
          <w:highlight w:val="none"/>
        </w:rPr>
        <w:t>原因主要</w:t>
      </w:r>
      <w:r>
        <w:rPr>
          <w:rFonts w:hint="eastAsia" w:ascii="TimesNewRoman" w:hAnsi="TimesNewRoman" w:eastAsia="仿宋_GB2312" w:cs="TimesNewRoman"/>
          <w:kern w:val="0"/>
          <w:sz w:val="32"/>
          <w:szCs w:val="32"/>
          <w:highlight w:val="none"/>
          <w:lang w:eastAsia="zh-CN"/>
        </w:rPr>
        <w:t>新增一名退休人员</w:t>
      </w:r>
      <w:r>
        <w:rPr>
          <w:rFonts w:hint="eastAsia" w:ascii="仿宋_GB2312" w:hAnsi="仿宋" w:eastAsia="仿宋_GB2312"/>
          <w:color w:val="0000FF"/>
          <w:sz w:val="32"/>
          <w:szCs w:val="32"/>
          <w:highlight w:val="none"/>
        </w:rPr>
        <w:t>。</w:t>
      </w:r>
    </w:p>
    <w:p>
      <w:pPr>
        <w:ind w:firstLine="643" w:firstLineChars="200"/>
        <w:rPr>
          <w:rFonts w:ascii="TimesNewRoman" w:hAnsi="TimesNewRoman" w:eastAsia="仿宋_GB2312" w:cs="TimesNewRoman"/>
          <w:color w:val="auto"/>
          <w:kern w:val="0"/>
          <w:sz w:val="32"/>
          <w:szCs w:val="32"/>
          <w:highlight w:val="none"/>
        </w:rPr>
      </w:pPr>
      <w:r>
        <w:rPr>
          <w:rFonts w:ascii="仿宋_GB2312" w:hAnsi="仿宋" w:eastAsia="仿宋_GB2312"/>
          <w:b/>
          <w:sz w:val="32"/>
          <w:szCs w:val="32"/>
          <w:highlight w:val="none"/>
        </w:rPr>
        <w:t>6.</w:t>
      </w:r>
      <w:r>
        <w:rPr>
          <w:rFonts w:hint="eastAsia" w:ascii="仿宋_GB2312" w:hAnsi="仿宋" w:eastAsia="仿宋_GB2312"/>
          <w:b/>
          <w:sz w:val="32"/>
          <w:szCs w:val="32"/>
          <w:highlight w:val="none"/>
        </w:rPr>
        <w:t>卫生健康支出（类）行政事业单位医疗（款）公务员医疗补助（项）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6.06</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0.56</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10.18</w:t>
      </w:r>
      <w:r>
        <w:rPr>
          <w:rFonts w:ascii="仿宋_GB2312" w:hAnsi="仿宋" w:eastAsia="仿宋_GB2312"/>
          <w:sz w:val="32"/>
          <w:szCs w:val="32"/>
          <w:highlight w:val="none"/>
        </w:rPr>
        <w:t>%</w:t>
      </w:r>
      <w:r>
        <w:rPr>
          <w:rFonts w:hint="eastAsia" w:ascii="仿宋_GB2312" w:hAnsi="仿宋" w:eastAsia="仿宋_GB2312"/>
          <w:sz w:val="32"/>
          <w:szCs w:val="32"/>
          <w:highlight w:val="none"/>
        </w:rPr>
        <w:t>，增长原因主要是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ind w:firstLine="643" w:firstLineChars="200"/>
        <w:rPr>
          <w:rFonts w:ascii="TimesNewRoman" w:hAnsi="TimesNewRoman" w:eastAsia="仿宋_GB2312" w:cs="TimesNewRoman"/>
          <w:color w:val="auto"/>
          <w:kern w:val="0"/>
          <w:sz w:val="32"/>
          <w:szCs w:val="32"/>
          <w:highlight w:val="none"/>
        </w:rPr>
      </w:pPr>
      <w:r>
        <w:rPr>
          <w:rFonts w:ascii="仿宋_GB2312" w:hAnsi="仿宋" w:eastAsia="仿宋_GB2312"/>
          <w:b/>
          <w:sz w:val="32"/>
          <w:szCs w:val="32"/>
          <w:highlight w:val="none"/>
        </w:rPr>
        <w:t>7.</w:t>
      </w:r>
      <w:r>
        <w:rPr>
          <w:rFonts w:hint="eastAsia" w:ascii="仿宋_GB2312" w:hAnsi="仿宋" w:eastAsia="仿宋_GB2312"/>
          <w:b/>
          <w:sz w:val="32"/>
          <w:szCs w:val="32"/>
          <w:highlight w:val="none"/>
        </w:rPr>
        <w:t>住房保障支出（类）住房改革支出（款）住房公积金（项）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_GB2312" w:eastAsia="仿宋_GB2312" w:cs="仿宋_GB2312"/>
          <w:color w:val="auto"/>
          <w:kern w:val="0"/>
          <w:sz w:val="32"/>
          <w:szCs w:val="32"/>
          <w:highlight w:val="none"/>
          <w:lang w:val="en-US" w:eastAsia="zh-CN"/>
        </w:rPr>
        <w:t>43.66</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3.3</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8.18</w:t>
      </w:r>
      <w:r>
        <w:rPr>
          <w:rFonts w:ascii="仿宋_GB2312" w:hAnsi="仿宋" w:eastAsia="仿宋_GB2312"/>
          <w:sz w:val="32"/>
          <w:szCs w:val="32"/>
          <w:highlight w:val="none"/>
        </w:rPr>
        <w:t>%</w:t>
      </w:r>
      <w:r>
        <w:rPr>
          <w:rFonts w:hint="eastAsia" w:ascii="仿宋_GB2312" w:hAnsi="仿宋" w:eastAsia="仿宋_GB2312"/>
          <w:sz w:val="32"/>
          <w:szCs w:val="32"/>
          <w:highlight w:val="none"/>
        </w:rPr>
        <w:t>，增长原因主要是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ind w:firstLine="643" w:firstLineChars="200"/>
        <w:rPr>
          <w:rFonts w:ascii="TimesNewRoman" w:hAnsi="TimesNewRoman" w:eastAsia="仿宋_GB2312" w:cs="TimesNewRoman"/>
          <w:color w:val="auto"/>
          <w:kern w:val="0"/>
          <w:sz w:val="32"/>
          <w:szCs w:val="32"/>
          <w:highlight w:val="none"/>
        </w:rPr>
      </w:pPr>
      <w:r>
        <w:rPr>
          <w:rFonts w:ascii="仿宋_GB2312" w:hAnsi="仿宋" w:eastAsia="仿宋_GB2312"/>
          <w:b/>
          <w:sz w:val="32"/>
          <w:szCs w:val="32"/>
          <w:highlight w:val="none"/>
        </w:rPr>
        <w:t>8.</w:t>
      </w:r>
      <w:r>
        <w:rPr>
          <w:rFonts w:hint="eastAsia" w:ascii="仿宋_GB2312" w:hAnsi="仿宋" w:eastAsia="仿宋_GB2312"/>
          <w:b/>
          <w:sz w:val="32"/>
          <w:szCs w:val="32"/>
          <w:highlight w:val="none"/>
        </w:rPr>
        <w:t>住房保障支出（类）住房改革支出（款）购房补贴（项）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18.19</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1.37</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8.15</w:t>
      </w:r>
      <w:r>
        <w:rPr>
          <w:rFonts w:ascii="仿宋_GB2312" w:hAnsi="仿宋" w:eastAsia="仿宋_GB2312"/>
          <w:sz w:val="32"/>
          <w:szCs w:val="32"/>
          <w:highlight w:val="none"/>
        </w:rPr>
        <w:t>%</w:t>
      </w:r>
      <w:r>
        <w:rPr>
          <w:rFonts w:hint="eastAsia" w:ascii="仿宋_GB2312" w:hAnsi="仿宋" w:eastAsia="仿宋_GB2312"/>
          <w:sz w:val="32"/>
          <w:szCs w:val="32"/>
          <w:highlight w:val="none"/>
        </w:rPr>
        <w:t>，增长原因主要是</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ind w:firstLine="643" w:firstLineChars="200"/>
        <w:rPr>
          <w:rFonts w:ascii="TimesNewRoman" w:hAnsi="TimesNewRoman" w:eastAsia="仿宋_GB2312" w:cs="TimesNewRoman"/>
          <w:color w:val="auto"/>
          <w:kern w:val="0"/>
          <w:sz w:val="32"/>
          <w:szCs w:val="32"/>
          <w:highlight w:val="none"/>
        </w:rPr>
      </w:pPr>
      <w:r>
        <w:rPr>
          <w:rFonts w:hint="eastAsia" w:ascii="仿宋_GB2312" w:hAnsi="仿宋" w:eastAsia="仿宋_GB2312"/>
          <w:b/>
          <w:sz w:val="32"/>
          <w:szCs w:val="32"/>
          <w:highlight w:val="none"/>
          <w:lang w:val="en-US" w:eastAsia="zh-CN"/>
        </w:rPr>
        <w:t>9</w:t>
      </w:r>
      <w:r>
        <w:rPr>
          <w:rFonts w:ascii="仿宋_GB2312" w:hAnsi="仿宋" w:eastAsia="仿宋_GB2312"/>
          <w:b/>
          <w:sz w:val="32"/>
          <w:szCs w:val="32"/>
          <w:highlight w:val="none"/>
        </w:rPr>
        <w:t>.</w:t>
      </w:r>
      <w:r>
        <w:rPr>
          <w:rFonts w:hint="eastAsia" w:ascii="仿宋_GB2312" w:hAnsi="仿宋" w:eastAsia="仿宋_GB2312"/>
          <w:b/>
          <w:sz w:val="32"/>
          <w:szCs w:val="32"/>
          <w:highlight w:val="none"/>
        </w:rPr>
        <w:t>住房保障支出（类）住房改革支出（款）</w:t>
      </w:r>
      <w:r>
        <w:rPr>
          <w:rFonts w:hint="eastAsia" w:ascii="仿宋_GB2312" w:hAnsi="仿宋" w:eastAsia="仿宋_GB2312"/>
          <w:b/>
          <w:sz w:val="32"/>
          <w:szCs w:val="32"/>
          <w:highlight w:val="none"/>
          <w:lang w:eastAsia="zh-CN"/>
        </w:rPr>
        <w:t>提租补贴</w:t>
      </w:r>
      <w:r>
        <w:rPr>
          <w:rFonts w:hint="eastAsia" w:ascii="仿宋_GB2312" w:hAnsi="仿宋" w:eastAsia="仿宋_GB2312"/>
          <w:b/>
          <w:sz w:val="32"/>
          <w:szCs w:val="32"/>
          <w:highlight w:val="none"/>
        </w:rPr>
        <w:t>（项）</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10.92</w:t>
      </w:r>
      <w:r>
        <w:rPr>
          <w:rFonts w:hint="eastAsia" w:ascii="仿宋_GB2312" w:hAnsi="仿宋" w:eastAsia="仿宋_GB2312"/>
          <w:sz w:val="32"/>
          <w:szCs w:val="32"/>
          <w:highlight w:val="none"/>
        </w:rPr>
        <w:t>万元，比</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0.83</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8.23</w:t>
      </w:r>
      <w:r>
        <w:rPr>
          <w:rFonts w:ascii="仿宋_GB2312" w:hAnsi="仿宋" w:eastAsia="仿宋_GB2312"/>
          <w:sz w:val="32"/>
          <w:szCs w:val="32"/>
          <w:highlight w:val="none"/>
        </w:rPr>
        <w:t>%</w:t>
      </w:r>
      <w:r>
        <w:rPr>
          <w:rFonts w:hint="eastAsia" w:ascii="仿宋_GB2312" w:hAnsi="仿宋" w:eastAsia="仿宋_GB2312"/>
          <w:sz w:val="32"/>
          <w:szCs w:val="32"/>
          <w:highlight w:val="none"/>
        </w:rPr>
        <w:t>，增长原因主要</w:t>
      </w:r>
      <w:r>
        <w:rPr>
          <w:rFonts w:hint="eastAsia" w:ascii="TimesNewRoman" w:hAnsi="TimesNewRoman" w:eastAsia="仿宋_GB2312" w:cs="TimesNewRoman"/>
          <w:color w:val="auto"/>
          <w:kern w:val="0"/>
          <w:sz w:val="32"/>
          <w:szCs w:val="32"/>
          <w:highlight w:val="none"/>
          <w:lang w:eastAsia="zh-CN"/>
        </w:rPr>
        <w:t>新增工作人员和</w:t>
      </w:r>
      <w:r>
        <w:rPr>
          <w:rFonts w:hint="eastAsia" w:ascii="仿宋_GB2312" w:hAnsi="仿宋" w:eastAsia="仿宋_GB2312"/>
          <w:color w:val="auto"/>
          <w:sz w:val="32"/>
          <w:szCs w:val="32"/>
          <w:highlight w:val="none"/>
        </w:rPr>
        <w:t>人员</w:t>
      </w:r>
      <w:r>
        <w:rPr>
          <w:rFonts w:hint="eastAsia" w:ascii="TimesNewRoman" w:hAnsi="TimesNewRoman" w:eastAsia="仿宋_GB2312" w:cs="TimesNewRoman"/>
          <w:color w:val="auto"/>
          <w:kern w:val="0"/>
          <w:sz w:val="32"/>
          <w:szCs w:val="32"/>
          <w:highlight w:val="none"/>
        </w:rPr>
        <w:t>工资调整。</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六、关于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年一般公共预算基本支出表的说明</w:t>
      </w:r>
    </w:p>
    <w:p>
      <w:pPr>
        <w:ind w:firstLine="640" w:firstLineChars="200"/>
        <w:rPr>
          <w:rFonts w:hint="eastAsia" w:ascii="仿宋_GB2312" w:hAnsi="仿宋_GB2312" w:eastAsia="仿宋_GB2312" w:cs="仿宋_GB2312"/>
          <w:bCs/>
          <w:sz w:val="32"/>
          <w:szCs w:val="32"/>
          <w:highlight w:val="none"/>
          <w:lang w:eastAsia="zh-CN"/>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年一般公共预算基本支出</w:t>
      </w:r>
      <w:r>
        <w:rPr>
          <w:rFonts w:hint="eastAsia" w:ascii="仿宋_GB2312" w:hAnsi="仿宋" w:eastAsia="仿宋_GB2312"/>
          <w:sz w:val="32"/>
          <w:szCs w:val="32"/>
          <w:highlight w:val="none"/>
          <w:lang w:val="en-US" w:eastAsia="zh-CN"/>
        </w:rPr>
        <w:t>471.37</w:t>
      </w:r>
      <w:r>
        <w:rPr>
          <w:rFonts w:hint="eastAsia" w:ascii="TimesNewRoman" w:hAnsi="TimesNewRoman" w:eastAsia="仿宋_GB2312" w:cs="TimesNewRoman"/>
          <w:kern w:val="0"/>
          <w:sz w:val="32"/>
          <w:szCs w:val="32"/>
          <w:highlight w:val="none"/>
        </w:rPr>
        <w:t>万元，其中，人员经费</w:t>
      </w:r>
      <w:r>
        <w:rPr>
          <w:rFonts w:hint="eastAsia" w:ascii="仿宋_GB2312" w:hAnsi="仿宋" w:eastAsia="仿宋_GB2312"/>
          <w:sz w:val="32"/>
          <w:szCs w:val="32"/>
          <w:highlight w:val="none"/>
          <w:lang w:val="en-US" w:eastAsia="zh-CN"/>
        </w:rPr>
        <w:t>437.77</w:t>
      </w:r>
      <w:r>
        <w:rPr>
          <w:rFonts w:hint="eastAsia" w:ascii="TimesNewRoman" w:hAnsi="TimesNewRoman" w:eastAsia="仿宋_GB2312" w:cs="TimesNewRoman"/>
          <w:kern w:val="0"/>
          <w:sz w:val="32"/>
          <w:szCs w:val="32"/>
          <w:highlight w:val="none"/>
        </w:rPr>
        <w:t>万元，公用经费</w:t>
      </w:r>
      <w:r>
        <w:rPr>
          <w:rFonts w:hint="eastAsia" w:ascii="仿宋_GB2312" w:hAnsi="仿宋" w:eastAsia="仿宋_GB2312"/>
          <w:sz w:val="32"/>
          <w:szCs w:val="32"/>
          <w:highlight w:val="none"/>
          <w:lang w:val="en-US" w:eastAsia="zh-CN"/>
        </w:rPr>
        <w:t>33.6</w:t>
      </w:r>
      <w:r>
        <w:rPr>
          <w:rFonts w:hint="eastAsia" w:ascii="TimesNewRoman" w:hAnsi="TimesNewRoman" w:eastAsia="仿宋_GB2312" w:cs="TimesNewRoman"/>
          <w:kern w:val="0"/>
          <w:sz w:val="32"/>
          <w:szCs w:val="32"/>
          <w:highlight w:val="none"/>
        </w:rPr>
        <w:t>万元。</w:t>
      </w:r>
    </w:p>
    <w:p>
      <w:pPr>
        <w:numPr>
          <w:ilvl w:val="0"/>
          <w:numId w:val="2"/>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人员经费</w:t>
      </w:r>
      <w:r>
        <w:rPr>
          <w:rFonts w:hint="eastAsia" w:ascii="仿宋_GB2312" w:hAnsi="仿宋_GB2312" w:eastAsia="仿宋_GB2312" w:cs="仿宋_GB2312"/>
          <w:sz w:val="32"/>
          <w:szCs w:val="32"/>
          <w:highlight w:val="none"/>
          <w:lang w:val="en-US" w:eastAsia="zh-CN"/>
        </w:rPr>
        <w:t>437.77</w:t>
      </w:r>
      <w:r>
        <w:rPr>
          <w:rFonts w:hint="eastAsia" w:ascii="仿宋_GB2312" w:hAnsi="仿宋_GB2312" w:eastAsia="仿宋_GB2312" w:cs="仿宋_GB2312"/>
          <w:sz w:val="32"/>
          <w:szCs w:val="32"/>
          <w:highlight w:val="none"/>
          <w:lang w:eastAsia="zh-CN"/>
        </w:rPr>
        <w:t>万元，主要包括:基本工资</w:t>
      </w:r>
      <w:r>
        <w:rPr>
          <w:rFonts w:hint="eastAsia" w:ascii="仿宋_GB2312" w:hAnsi="仿宋_GB2312" w:eastAsia="仿宋_GB2312" w:cs="仿宋_GB2312"/>
          <w:sz w:val="32"/>
          <w:szCs w:val="32"/>
          <w:highlight w:val="none"/>
          <w:lang w:val="en-US" w:eastAsia="zh-CN"/>
        </w:rPr>
        <w:t>116.94万元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津贴补贴29.11万元、奖金9.75万元、绩效工资140.10万元、机关</w:t>
      </w:r>
    </w:p>
    <w:p>
      <w:pPr>
        <w:pStyle w:val="2"/>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sz w:val="32"/>
          <w:szCs w:val="32"/>
          <w:highlight w:val="none"/>
          <w:lang w:val="en-US" w:eastAsia="zh-CN"/>
        </w:rPr>
        <w:t>事业单位基本养老保险费42.69万元、职业</w:t>
      </w:r>
      <w:r>
        <w:rPr>
          <w:rFonts w:hint="eastAsia" w:ascii="仿宋_GB2312" w:hAnsi="仿宋_GB2312" w:eastAsia="仿宋_GB2312" w:cs="仿宋_GB2312"/>
          <w:sz w:val="32"/>
          <w:szCs w:val="32"/>
          <w:highlight w:val="none"/>
          <w:lang w:eastAsia="zh-CN"/>
        </w:rPr>
        <w:t>年金缴费</w:t>
      </w:r>
      <w:r>
        <w:rPr>
          <w:rFonts w:hint="eastAsia" w:ascii="仿宋_GB2312" w:hAnsi="仿宋_GB2312" w:eastAsia="仿宋_GB2312" w:cs="仿宋_GB2312"/>
          <w:sz w:val="32"/>
          <w:szCs w:val="32"/>
          <w:highlight w:val="none"/>
          <w:lang w:val="en-US" w:eastAsia="zh-CN"/>
        </w:rPr>
        <w:t>21.34万元</w:t>
      </w:r>
      <w:r>
        <w:rPr>
          <w:rFonts w:hint="eastAsia" w:ascii="仿宋_GB2312" w:hAnsi="仿宋_GB2312" w:eastAsia="仿宋_GB2312" w:cs="仿宋_GB2312"/>
          <w:sz w:val="32"/>
          <w:szCs w:val="32"/>
          <w:highlight w:val="none"/>
          <w:lang w:eastAsia="zh-CN"/>
        </w:rPr>
        <w:t>、职工基本医疗保险缴费</w:t>
      </w:r>
      <w:r>
        <w:rPr>
          <w:rFonts w:hint="eastAsia" w:ascii="仿宋_GB2312" w:hAnsi="仿宋_GB2312" w:eastAsia="仿宋_GB2312" w:cs="仿宋_GB2312"/>
          <w:sz w:val="32"/>
          <w:szCs w:val="32"/>
          <w:highlight w:val="none"/>
          <w:lang w:val="en-US" w:eastAsia="zh-CN"/>
        </w:rPr>
        <w:t>14.07万元</w:t>
      </w:r>
      <w:r>
        <w:rPr>
          <w:rFonts w:hint="eastAsia" w:ascii="仿宋_GB2312" w:hAnsi="仿宋_GB2312" w:eastAsia="仿宋_GB2312" w:cs="仿宋_GB2312"/>
          <w:sz w:val="32"/>
          <w:szCs w:val="32"/>
          <w:highlight w:val="none"/>
          <w:lang w:eastAsia="zh-CN"/>
        </w:rPr>
        <w:t>、公务员医疗补助缴费</w:t>
      </w:r>
      <w:r>
        <w:rPr>
          <w:rFonts w:hint="eastAsia" w:ascii="仿宋_GB2312" w:hAnsi="仿宋_GB2312" w:eastAsia="仿宋_GB2312" w:cs="仿宋_GB2312"/>
          <w:sz w:val="32"/>
          <w:szCs w:val="32"/>
          <w:highlight w:val="none"/>
          <w:lang w:val="en-US" w:eastAsia="zh-CN"/>
        </w:rPr>
        <w:t>5.86万元</w:t>
      </w:r>
      <w:r>
        <w:rPr>
          <w:rFonts w:hint="eastAsia" w:ascii="仿宋_GB2312" w:hAnsi="仿宋_GB2312" w:eastAsia="仿宋_GB2312" w:cs="仿宋_GB2312"/>
          <w:sz w:val="32"/>
          <w:szCs w:val="32"/>
          <w:highlight w:val="none"/>
          <w:lang w:eastAsia="zh-CN"/>
        </w:rPr>
        <w:t>、其他社会保障缴费</w:t>
      </w:r>
      <w:r>
        <w:rPr>
          <w:rFonts w:hint="eastAsia" w:ascii="仿宋_GB2312" w:hAnsi="仿宋_GB2312" w:eastAsia="仿宋_GB2312" w:cs="仿宋_GB2312"/>
          <w:sz w:val="32"/>
          <w:szCs w:val="32"/>
          <w:highlight w:val="none"/>
          <w:lang w:val="en-US" w:eastAsia="zh-CN"/>
        </w:rPr>
        <w:t>1.37万元</w:t>
      </w:r>
      <w:r>
        <w:rPr>
          <w:rFonts w:hint="eastAsia" w:ascii="仿宋_GB2312" w:hAnsi="仿宋_GB2312" w:eastAsia="仿宋_GB2312" w:cs="仿宋_GB2312"/>
          <w:sz w:val="32"/>
          <w:szCs w:val="32"/>
          <w:highlight w:val="none"/>
          <w:lang w:eastAsia="zh-CN"/>
        </w:rPr>
        <w:t>、工会经费</w:t>
      </w:r>
      <w:r>
        <w:rPr>
          <w:rFonts w:hint="eastAsia" w:ascii="仿宋_GB2312" w:hAnsi="仿宋_GB2312" w:eastAsia="仿宋_GB2312" w:cs="仿宋_GB2312"/>
          <w:sz w:val="32"/>
          <w:szCs w:val="32"/>
          <w:highlight w:val="none"/>
          <w:lang w:val="en-US" w:eastAsia="zh-CN"/>
        </w:rPr>
        <w:t>2.31万元</w:t>
      </w:r>
      <w:r>
        <w:rPr>
          <w:rFonts w:hint="eastAsia" w:ascii="仿宋_GB2312" w:hAnsi="仿宋_GB2312" w:eastAsia="仿宋_GB2312" w:cs="仿宋_GB2312"/>
          <w:sz w:val="32"/>
          <w:szCs w:val="32"/>
          <w:highlight w:val="none"/>
          <w:lang w:eastAsia="zh-CN"/>
        </w:rPr>
        <w:t>、福利费</w:t>
      </w:r>
      <w:r>
        <w:rPr>
          <w:rFonts w:hint="eastAsia" w:ascii="仿宋_GB2312" w:hAnsi="仿宋_GB2312" w:eastAsia="仿宋_GB2312" w:cs="仿宋_GB2312"/>
          <w:sz w:val="32"/>
          <w:szCs w:val="32"/>
          <w:highlight w:val="none"/>
          <w:lang w:val="en-US" w:eastAsia="zh-CN"/>
        </w:rPr>
        <w:t>0.12万元</w:t>
      </w:r>
      <w:r>
        <w:rPr>
          <w:rFonts w:hint="eastAsia" w:ascii="仿宋_GB2312" w:hAnsi="仿宋_GB2312" w:eastAsia="仿宋_GB2312" w:cs="仿宋_GB2312"/>
          <w:sz w:val="32"/>
          <w:szCs w:val="32"/>
          <w:highlight w:val="none"/>
          <w:lang w:eastAsia="zh-CN"/>
        </w:rPr>
        <w:t>、住房公积金</w:t>
      </w:r>
      <w:r>
        <w:rPr>
          <w:rFonts w:hint="eastAsia" w:ascii="仿宋_GB2312" w:hAnsi="仿宋_GB2312" w:eastAsia="仿宋_GB2312" w:cs="仿宋_GB2312"/>
          <w:sz w:val="32"/>
          <w:szCs w:val="32"/>
          <w:highlight w:val="none"/>
          <w:lang w:val="en-US" w:eastAsia="zh-CN"/>
        </w:rPr>
        <w:t>43.66万元</w:t>
      </w:r>
      <w:r>
        <w:rPr>
          <w:rFonts w:hint="eastAsia" w:ascii="仿宋_GB2312" w:hAnsi="仿宋_GB2312" w:eastAsia="仿宋_GB2312" w:cs="仿宋_GB2312"/>
          <w:sz w:val="32"/>
          <w:szCs w:val="32"/>
          <w:highlight w:val="none"/>
          <w:lang w:eastAsia="zh-CN"/>
        </w:rPr>
        <w:t>、其他商品和服务支出</w:t>
      </w:r>
      <w:r>
        <w:rPr>
          <w:rFonts w:hint="eastAsia" w:ascii="仿宋_GB2312" w:hAnsi="仿宋_GB2312" w:eastAsia="仿宋_GB2312" w:cs="仿宋_GB2312"/>
          <w:sz w:val="32"/>
          <w:szCs w:val="32"/>
          <w:highlight w:val="none"/>
          <w:lang w:val="en-US" w:eastAsia="zh-CN"/>
        </w:rPr>
        <w:t>0.24万元、办公费2.79万元</w:t>
      </w:r>
      <w:r>
        <w:rPr>
          <w:rFonts w:hint="eastAsia" w:ascii="仿宋_GB2312" w:hAnsi="仿宋_GB2312" w:eastAsia="仿宋_GB2312" w:cs="仿宋_GB2312"/>
          <w:sz w:val="32"/>
          <w:szCs w:val="32"/>
          <w:highlight w:val="none"/>
          <w:lang w:eastAsia="zh-CN"/>
        </w:rPr>
        <w:t>退休费</w:t>
      </w:r>
      <w:r>
        <w:rPr>
          <w:rFonts w:hint="eastAsia" w:ascii="仿宋_GB2312" w:hAnsi="仿宋_GB2312" w:eastAsia="仿宋_GB2312" w:cs="仿宋_GB2312"/>
          <w:sz w:val="32"/>
          <w:szCs w:val="32"/>
          <w:highlight w:val="none"/>
          <w:lang w:val="en-US" w:eastAsia="zh-CN"/>
        </w:rPr>
        <w:t>2.25万元</w:t>
      </w:r>
      <w:r>
        <w:rPr>
          <w:rFonts w:hint="eastAsia" w:ascii="仿宋_GB2312" w:hAnsi="仿宋_GB2312" w:eastAsia="仿宋_GB2312" w:cs="仿宋_GB2312"/>
          <w:sz w:val="32"/>
          <w:szCs w:val="32"/>
          <w:highlight w:val="none"/>
          <w:lang w:eastAsia="zh-CN"/>
        </w:rPr>
        <w:t>、医疗费补助</w:t>
      </w:r>
      <w:r>
        <w:rPr>
          <w:rFonts w:hint="eastAsia" w:ascii="仿宋_GB2312" w:hAnsi="仿宋_GB2312" w:eastAsia="仿宋_GB2312" w:cs="仿宋_GB2312"/>
          <w:sz w:val="32"/>
          <w:szCs w:val="32"/>
          <w:highlight w:val="none"/>
          <w:lang w:val="en-US" w:eastAsia="zh-CN"/>
        </w:rPr>
        <w:t>0.20万元</w:t>
      </w:r>
      <w:r>
        <w:rPr>
          <w:rFonts w:hint="eastAsia" w:ascii="仿宋_GB2312" w:hAnsi="仿宋_GB2312" w:eastAsia="仿宋_GB2312" w:cs="仿宋_GB2312"/>
          <w:sz w:val="32"/>
          <w:szCs w:val="32"/>
          <w:highlight w:val="none"/>
          <w:lang w:eastAsia="zh-CN"/>
        </w:rPr>
        <w:t>、奖励金</w:t>
      </w:r>
      <w:r>
        <w:rPr>
          <w:rFonts w:hint="eastAsia" w:ascii="仿宋_GB2312" w:hAnsi="仿宋_GB2312" w:eastAsia="仿宋_GB2312" w:cs="仿宋_GB2312"/>
          <w:sz w:val="32"/>
          <w:szCs w:val="32"/>
          <w:highlight w:val="none"/>
          <w:lang w:val="en-US" w:eastAsia="zh-CN"/>
        </w:rPr>
        <w:t>0.09万元、</w:t>
      </w:r>
      <w:r>
        <w:rPr>
          <w:rFonts w:hint="eastAsia" w:ascii="仿宋_GB2312" w:hAnsi="仿宋_GB2312" w:eastAsia="仿宋_GB2312" w:cs="仿宋_GB2312"/>
          <w:sz w:val="32"/>
          <w:szCs w:val="32"/>
          <w:highlight w:val="none"/>
          <w:lang w:eastAsia="zh-CN"/>
        </w:rPr>
        <w:t>对其他个人和家庭的补助支出</w:t>
      </w:r>
      <w:r>
        <w:rPr>
          <w:rFonts w:hint="eastAsia" w:ascii="仿宋_GB2312" w:hAnsi="仿宋_GB2312" w:eastAsia="仿宋_GB2312" w:cs="仿宋_GB2312"/>
          <w:sz w:val="32"/>
          <w:szCs w:val="32"/>
          <w:highlight w:val="none"/>
          <w:lang w:val="en-US" w:eastAsia="zh-CN"/>
        </w:rPr>
        <w:t>4.88万元</w:t>
      </w:r>
      <w:r>
        <w:rPr>
          <w:rFonts w:hint="eastAsia" w:ascii="仿宋_GB2312" w:hAnsi="仿宋_GB2312" w:eastAsia="仿宋_GB2312" w:cs="仿宋_GB2312"/>
          <w:sz w:val="32"/>
          <w:szCs w:val="32"/>
          <w:highlight w:val="none"/>
          <w:lang w:eastAsia="zh-CN"/>
        </w:rPr>
        <w:t>。</w:t>
      </w:r>
    </w:p>
    <w:p>
      <w:pPr>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（二）公用经费</w:t>
      </w:r>
      <w:r>
        <w:rPr>
          <w:rFonts w:hint="eastAsia" w:ascii="仿宋_GB2312" w:hAnsi="仿宋_GB2312" w:eastAsia="仿宋_GB2312" w:cs="仿宋_GB2312"/>
          <w:bCs/>
          <w:sz w:val="32"/>
          <w:szCs w:val="32"/>
          <w:highlight w:val="none"/>
          <w:lang w:val="en-US" w:eastAsia="zh-CN"/>
        </w:rPr>
        <w:t>33.6</w:t>
      </w:r>
      <w:r>
        <w:rPr>
          <w:rFonts w:hint="eastAsia" w:ascii="仿宋_GB2312" w:hAnsi="仿宋_GB2312" w:eastAsia="仿宋_GB2312" w:cs="仿宋_GB2312"/>
          <w:bCs/>
          <w:sz w:val="32"/>
          <w:szCs w:val="32"/>
          <w:highlight w:val="none"/>
          <w:lang w:eastAsia="zh-CN"/>
        </w:rPr>
        <w:t>万元，主要包括：办公费</w:t>
      </w:r>
      <w:r>
        <w:rPr>
          <w:rFonts w:hint="eastAsia" w:ascii="仿宋_GB2312" w:hAnsi="仿宋_GB2312" w:eastAsia="仿宋_GB2312" w:cs="仿宋_GB2312"/>
          <w:bCs/>
          <w:sz w:val="32"/>
          <w:szCs w:val="32"/>
          <w:highlight w:val="none"/>
          <w:lang w:val="en-US" w:eastAsia="zh-CN"/>
        </w:rPr>
        <w:t>2.00万元</w:t>
      </w:r>
      <w:r>
        <w:rPr>
          <w:rFonts w:hint="eastAsia" w:ascii="仿宋_GB2312" w:hAnsi="仿宋_GB2312" w:eastAsia="仿宋_GB2312" w:cs="仿宋_GB2312"/>
          <w:bCs/>
          <w:sz w:val="32"/>
          <w:szCs w:val="32"/>
          <w:highlight w:val="none"/>
          <w:lang w:eastAsia="zh-CN"/>
        </w:rPr>
        <w:t>、公务接待费</w:t>
      </w:r>
      <w:r>
        <w:rPr>
          <w:rFonts w:hint="eastAsia" w:ascii="仿宋_GB2312" w:hAnsi="仿宋_GB2312" w:eastAsia="仿宋_GB2312" w:cs="仿宋_GB2312"/>
          <w:bCs/>
          <w:sz w:val="32"/>
          <w:szCs w:val="32"/>
          <w:highlight w:val="none"/>
          <w:lang w:val="en-US" w:eastAsia="zh-CN"/>
        </w:rPr>
        <w:t>0.50万元</w:t>
      </w:r>
      <w:r>
        <w:rPr>
          <w:rFonts w:hint="eastAsia" w:ascii="仿宋_GB2312" w:hAnsi="仿宋_GB2312" w:eastAsia="仿宋_GB2312" w:cs="仿宋_GB2312"/>
          <w:bCs/>
          <w:sz w:val="32"/>
          <w:szCs w:val="32"/>
          <w:highlight w:val="none"/>
          <w:lang w:eastAsia="zh-CN"/>
        </w:rPr>
        <w:t>、其他交通费用</w:t>
      </w:r>
      <w:r>
        <w:rPr>
          <w:rFonts w:hint="eastAsia" w:ascii="仿宋_GB2312" w:hAnsi="仿宋_GB2312" w:eastAsia="仿宋_GB2312" w:cs="仿宋_GB2312"/>
          <w:bCs/>
          <w:sz w:val="32"/>
          <w:szCs w:val="32"/>
          <w:highlight w:val="none"/>
          <w:lang w:val="en-US" w:eastAsia="zh-CN"/>
        </w:rPr>
        <w:t>1.15万元</w:t>
      </w:r>
      <w:r>
        <w:rPr>
          <w:rFonts w:hint="eastAsia" w:ascii="仿宋_GB2312" w:hAnsi="仿宋_GB2312" w:eastAsia="仿宋_GB2312" w:cs="仿宋_GB2312"/>
          <w:bCs/>
          <w:sz w:val="32"/>
          <w:szCs w:val="32"/>
          <w:highlight w:val="none"/>
          <w:lang w:eastAsia="zh-CN"/>
        </w:rPr>
        <w:t>、其他商品服务支出</w:t>
      </w:r>
      <w:r>
        <w:rPr>
          <w:rFonts w:hint="eastAsia" w:ascii="仿宋_GB2312" w:hAnsi="仿宋_GB2312" w:eastAsia="仿宋_GB2312" w:cs="仿宋_GB2312"/>
          <w:bCs/>
          <w:sz w:val="32"/>
          <w:szCs w:val="32"/>
          <w:highlight w:val="none"/>
          <w:lang w:val="en-US" w:eastAsia="zh-CN"/>
        </w:rPr>
        <w:t>29.95万元</w:t>
      </w:r>
      <w:r>
        <w:rPr>
          <w:rFonts w:hint="eastAsia" w:ascii="仿宋_GB2312" w:hAnsi="仿宋_GB2312" w:eastAsia="仿宋_GB2312" w:cs="仿宋_GB2312"/>
          <w:bCs/>
          <w:sz w:val="32"/>
          <w:szCs w:val="32"/>
          <w:highlight w:val="none"/>
          <w:lang w:eastAsia="zh-CN"/>
        </w:rPr>
        <w:t>。</w:t>
      </w:r>
    </w:p>
    <w:p>
      <w:pPr>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七、关于</w:t>
      </w:r>
      <w:r>
        <w:rPr>
          <w:rFonts w:hint="eastAsia" w:ascii="仿宋_GB2312" w:hAnsi="仿宋_GB2312" w:eastAsia="仿宋_GB2312" w:cs="仿宋_GB2312"/>
          <w:bCs/>
          <w:sz w:val="32"/>
          <w:szCs w:val="32"/>
          <w:highlight w:val="none"/>
          <w:lang w:val="en-US" w:eastAsia="zh-CN"/>
        </w:rPr>
        <w:t>2025</w:t>
      </w:r>
      <w:r>
        <w:rPr>
          <w:rFonts w:hint="eastAsia" w:ascii="仿宋_GB2312" w:hAnsi="仿宋_GB2312" w:eastAsia="仿宋_GB2312" w:cs="仿宋_GB2312"/>
          <w:bCs/>
          <w:sz w:val="32"/>
          <w:szCs w:val="32"/>
          <w:highlight w:val="none"/>
          <w:lang w:eastAsia="zh-CN"/>
        </w:rPr>
        <w:t>年政府性基金预算支出表的说明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lang w:val="en-US" w:eastAsia="zh-CN" w:bidi="ar-SA"/>
        </w:rPr>
        <w:t>2025</w:t>
      </w:r>
      <w:r>
        <w:rPr>
          <w:rFonts w:hint="eastAsia" w:ascii="TimesNewRoman" w:hAnsi="TimesNewRoman" w:eastAsia="仿宋_GB2312" w:cs="TimesNewRoman"/>
          <w:kern w:val="0"/>
          <w:sz w:val="32"/>
          <w:szCs w:val="32"/>
          <w:highlight w:val="none"/>
        </w:rPr>
        <w:t>年没有政府性基金预算拨款收入，也没有使用政府性基金预算拨款安排的支出。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八、关于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年国有资本经营预算支出表的说明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 w:val="0"/>
          <w:bCs w:val="0"/>
          <w:kern w:val="0"/>
          <w:sz w:val="32"/>
          <w:szCs w:val="32"/>
          <w:highlight w:val="none"/>
        </w:rPr>
        <w:t>2025</w:t>
      </w:r>
      <w:r>
        <w:rPr>
          <w:rFonts w:hint="eastAsia" w:ascii="TimesNewRoman" w:hAnsi="TimesNewRoman" w:eastAsia="仿宋_GB2312" w:cs="TimesNewRoman"/>
          <w:kern w:val="0"/>
          <w:sz w:val="32"/>
          <w:szCs w:val="32"/>
          <w:highlight w:val="none"/>
        </w:rPr>
        <w:t>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九、关于</w:t>
      </w:r>
      <w:r>
        <w:rPr>
          <w:rFonts w:hint="eastAsia" w:ascii="黑体" w:hAnsi="黑体" w:eastAsia="黑体" w:cs="黑体"/>
          <w:b/>
          <w:bCs/>
          <w:kern w:val="0"/>
          <w:sz w:val="32"/>
          <w:szCs w:val="32"/>
          <w:highlight w:val="none"/>
          <w:lang w:val="en-US" w:eastAsia="zh-CN" w:bidi="ar-SA"/>
        </w:rPr>
        <w:t>2025</w:t>
      </w:r>
      <w:r>
        <w:rPr>
          <w:rFonts w:hint="eastAsia" w:ascii="TimesNewRoman" w:hAnsi="TimesNewRoman" w:eastAsia="黑体" w:cs="TimesNewRoman"/>
          <w:bCs/>
          <w:sz w:val="32"/>
          <w:szCs w:val="32"/>
          <w:highlight w:val="none"/>
        </w:rPr>
        <w:t>年项目支出表的说明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 w:val="0"/>
          <w:bCs w:val="0"/>
          <w:kern w:val="0"/>
          <w:sz w:val="32"/>
          <w:szCs w:val="32"/>
          <w:highlight w:val="none"/>
        </w:rPr>
        <w:t>2025</w:t>
      </w:r>
      <w:r>
        <w:rPr>
          <w:rFonts w:hint="eastAsia" w:ascii="TimesNewRoman" w:hAnsi="TimesNewRoman" w:eastAsia="仿宋_GB2312" w:cs="TimesNewRoman"/>
          <w:kern w:val="0"/>
          <w:sz w:val="32"/>
          <w:szCs w:val="32"/>
          <w:highlight w:val="none"/>
        </w:rPr>
        <w:t>年没有使用一般公共预算拨款、政府性基金预算拨款、国有资本经营预算拨款、财政专户管理资金和单位资金安排的项目支出。</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十、关于</w:t>
      </w:r>
      <w:r>
        <w:rPr>
          <w:rFonts w:hint="eastAsia" w:ascii="黑体" w:hAnsi="黑体" w:eastAsia="黑体" w:cs="黑体"/>
          <w:bCs/>
          <w:sz w:val="32"/>
          <w:szCs w:val="32"/>
          <w:highlight w:val="none"/>
        </w:rPr>
        <w:t>2025</w:t>
      </w:r>
      <w:r>
        <w:rPr>
          <w:rFonts w:hint="eastAsia" w:ascii="TimesNewRoman" w:hAnsi="TimesNewRoman" w:eastAsia="黑体" w:cs="TimesNewRoman"/>
          <w:bCs/>
          <w:sz w:val="32"/>
          <w:szCs w:val="32"/>
          <w:highlight w:val="none"/>
        </w:rPr>
        <w:t>年政府采购支出表的说明</w:t>
      </w:r>
    </w:p>
    <w:p>
      <w:pPr>
        <w:ind w:firstLine="640" w:firstLineChars="200"/>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淮北市商贸发展服务中心2025年预算安排政府采购支出0.52万元，比2024年预算增加0.52万元，增长100%，原因主要是新增工作人员，购置一台多功能一体机。其中，一般公共预算安排0.52万元，占0.12%；政府性基金预算安排0万元，占0%；财政专户管理资金安排0万元，占0%。</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十一、关于</w:t>
      </w:r>
      <w:r>
        <w:rPr>
          <w:rFonts w:hint="eastAsia" w:ascii="黑体" w:hAnsi="黑体" w:eastAsia="黑体" w:cs="黑体"/>
          <w:bCs/>
          <w:sz w:val="32"/>
          <w:szCs w:val="32"/>
          <w:highlight w:val="none"/>
        </w:rPr>
        <w:t>2025</w:t>
      </w:r>
      <w:r>
        <w:rPr>
          <w:rFonts w:hint="eastAsia" w:ascii="TimesNewRoman" w:hAnsi="TimesNewRoman" w:eastAsia="黑体" w:cs="TimesNewRoman"/>
          <w:bCs/>
          <w:sz w:val="32"/>
          <w:szCs w:val="32"/>
          <w:highlight w:val="none"/>
        </w:rPr>
        <w:t>年政府购买服务支出表的说明</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 w:val="0"/>
          <w:bCs w:val="0"/>
          <w:kern w:val="0"/>
          <w:sz w:val="32"/>
          <w:szCs w:val="32"/>
          <w:highlight w:val="none"/>
        </w:rPr>
        <w:t>2025</w:t>
      </w:r>
      <w:r>
        <w:rPr>
          <w:rFonts w:hint="eastAsia" w:ascii="TimesNewRoman" w:hAnsi="TimesNewRoman" w:eastAsia="仿宋_GB2312" w:cs="TimesNewRoman"/>
          <w:kern w:val="0"/>
          <w:sz w:val="32"/>
          <w:szCs w:val="32"/>
          <w:highlight w:val="none"/>
        </w:rPr>
        <w:t>年没有安排政府购买服务支出。</w:t>
      </w:r>
    </w:p>
    <w:p>
      <w:pPr>
        <w:pStyle w:val="8"/>
        <w:adjustRightInd w:val="0"/>
        <w:snapToGrid w:val="0"/>
        <w:spacing w:line="560" w:lineRule="exact"/>
        <w:ind w:firstLine="640" w:firstLineChars="200"/>
        <w:rPr>
          <w:rFonts w:ascii="TimesNewRoman" w:hAnsi="TimesNewRoman" w:eastAsia="楷体_GB2312" w:cs="TimesNewRoman"/>
          <w:color w:val="FF0000"/>
          <w:sz w:val="32"/>
          <w:szCs w:val="32"/>
          <w:highlight w:val="none"/>
        </w:rPr>
      </w:pPr>
      <w:r>
        <w:rPr>
          <w:rFonts w:ascii="TimesNewRoman" w:hAnsi="TimesNewRoman" w:eastAsia="黑体" w:cs="TimesNewRoman"/>
          <w:sz w:val="32"/>
          <w:szCs w:val="32"/>
          <w:highlight w:val="none"/>
        </w:rPr>
        <w:t>十</w:t>
      </w:r>
      <w:r>
        <w:rPr>
          <w:rFonts w:hint="eastAsia" w:ascii="TimesNewRoman" w:hAnsi="TimesNewRoman" w:eastAsia="黑体" w:cs="TimesNewRoman"/>
          <w:sz w:val="32"/>
          <w:szCs w:val="32"/>
          <w:highlight w:val="none"/>
        </w:rPr>
        <w:t>二</w:t>
      </w:r>
      <w:r>
        <w:rPr>
          <w:rFonts w:hint="eastAsia" w:ascii="TimesNewRoman" w:hAnsi="TimesNewRoman" w:eastAsia="黑体" w:cs="TimesNewRoman"/>
          <w:bCs/>
          <w:sz w:val="32"/>
          <w:szCs w:val="32"/>
          <w:highlight w:val="none"/>
        </w:rPr>
        <w:t>、关于2025年通用资产配置支出表的说明</w:t>
      </w:r>
    </w:p>
    <w:p>
      <w:pPr>
        <w:ind w:firstLine="640" w:firstLineChars="200"/>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淮北市商贸发</w:t>
      </w:r>
      <w:bookmarkStart w:id="0" w:name="_GoBack"/>
      <w:bookmarkEnd w:id="0"/>
      <w:r>
        <w:rPr>
          <w:rFonts w:hint="eastAsia" w:ascii="仿宋_GB2312" w:hAnsi="仿宋_GB2312" w:eastAsia="仿宋_GB2312" w:cs="仿宋_GB2312"/>
          <w:b w:val="0"/>
          <w:bCs w:val="0"/>
          <w:kern w:val="0"/>
          <w:sz w:val="32"/>
          <w:szCs w:val="32"/>
          <w:highlight w:val="none"/>
          <w:lang w:val="en-US" w:eastAsia="zh-CN"/>
        </w:rPr>
        <w:t>展服务中心2025年预算安排通用资产配置支出0.52万元，比2024年预算增加0.52万元，原因主要是新增工作人员，购置一台多功能一体机。</w:t>
      </w:r>
    </w:p>
    <w:p>
      <w:pPr>
        <w:pStyle w:val="8"/>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十</w:t>
      </w:r>
      <w:r>
        <w:rPr>
          <w:rFonts w:hint="eastAsia" w:ascii="TimesNewRoman" w:hAnsi="TimesNewRoman" w:eastAsia="黑体" w:cs="TimesNewRoman"/>
          <w:bCs/>
          <w:sz w:val="32"/>
          <w:szCs w:val="32"/>
          <w:highlight w:val="none"/>
          <w:lang w:val="en-US" w:eastAsia="zh-CN"/>
        </w:rPr>
        <w:t>三</w:t>
      </w:r>
      <w:r>
        <w:rPr>
          <w:rFonts w:hint="eastAsia" w:ascii="TimesNewRoman" w:hAnsi="TimesNewRoman" w:eastAsia="黑体" w:cs="TimesNewRoman"/>
          <w:bCs/>
          <w:sz w:val="32"/>
          <w:szCs w:val="32"/>
          <w:highlight w:val="none"/>
        </w:rPr>
        <w:t>、</w:t>
      </w:r>
      <w:r>
        <w:rPr>
          <w:rFonts w:hint="eastAsia" w:ascii="TimesNewRoman" w:hAnsi="TimesNewRoman" w:eastAsia="黑体" w:cs="TimesNewRoman"/>
          <w:bCs/>
          <w:sz w:val="32"/>
          <w:szCs w:val="32"/>
          <w:highlight w:val="none"/>
        </w:rPr>
        <w:t>其他重要事项情况说明</w:t>
      </w:r>
    </w:p>
    <w:p>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（一）项目及绩效目标情况。</w:t>
      </w:r>
    </w:p>
    <w:p>
      <w:pPr>
        <w:ind w:firstLine="640" w:firstLineChars="200"/>
        <w:rPr>
          <w:rFonts w:ascii="TimesNewRoman" w:hAnsi="TimesNewRoman" w:eastAsia="仿宋_GB2312" w:cs="TimesNewRoman"/>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商贸工作运行经费</w:t>
      </w:r>
      <w:r>
        <w:rPr>
          <w:rFonts w:hint="eastAsia" w:ascii="TimesNewRoman" w:hAnsi="TimesNewRoman" w:eastAsia="仿宋_GB2312" w:cs="TimesNewRoman"/>
          <w:kern w:val="0"/>
          <w:sz w:val="32"/>
          <w:szCs w:val="32"/>
          <w:highlight w:val="none"/>
        </w:rPr>
        <w:t>”项目。</w:t>
      </w:r>
    </w:p>
    <w:p>
      <w:pPr>
        <w:adjustRightInd w:val="0"/>
        <w:snapToGrid w:val="0"/>
        <w:spacing w:line="600" w:lineRule="exact"/>
        <w:ind w:firstLine="640" w:firstLineChars="200"/>
        <w:rPr>
          <w:rFonts w:hint="eastAsia" w:ascii="仿宋_GB2312" w:hAnsi="楷体" w:eastAsia="仿宋"/>
          <w:sz w:val="32"/>
          <w:szCs w:val="32"/>
          <w:highlight w:val="none"/>
          <w:lang w:eastAsia="zh-CN"/>
        </w:rPr>
      </w:pPr>
      <w:r>
        <w:rPr>
          <w:rFonts w:hint="eastAsia" w:ascii="仿宋_GB2312" w:hAnsi="仿宋_GB2312" w:eastAsia="仿宋_GB2312" w:cs="仿宋_GB2312"/>
          <w:kern w:val="0"/>
          <w:sz w:val="32"/>
          <w:szCs w:val="32"/>
          <w:highlight w:val="none"/>
        </w:rPr>
        <w:t>（1）</w:t>
      </w:r>
      <w:r>
        <w:rPr>
          <w:rFonts w:hint="eastAsia" w:ascii="TimesNewRoman" w:hAnsi="TimesNewRoman" w:eastAsia="仿宋_GB2312" w:cs="TimesNewRoman"/>
          <w:kern w:val="0"/>
          <w:sz w:val="32"/>
          <w:szCs w:val="32"/>
          <w:highlight w:val="none"/>
        </w:rPr>
        <w:t>项目概述。</w:t>
      </w:r>
      <w:r>
        <w:rPr>
          <w:rFonts w:hint="eastAsia" w:ascii="仿宋" w:hAnsi="仿宋" w:eastAsia="仿宋"/>
          <w:sz w:val="32"/>
          <w:szCs w:val="32"/>
          <w:highlight w:val="none"/>
        </w:rPr>
        <w:t>负责</w:t>
      </w:r>
      <w:r>
        <w:rPr>
          <w:rFonts w:hint="eastAsia" w:ascii="仿宋" w:hAnsi="仿宋" w:eastAsia="仿宋"/>
          <w:sz w:val="32"/>
          <w:szCs w:val="32"/>
          <w:highlight w:val="none"/>
          <w:lang w:eastAsia="zh-CN"/>
        </w:rPr>
        <w:t>为全市会展业提供服务保障等相关工作；</w:t>
      </w:r>
      <w:r>
        <w:rPr>
          <w:rFonts w:hint="eastAsia" w:ascii="仿宋" w:hAnsi="仿宋" w:eastAsia="仿宋"/>
          <w:sz w:val="32"/>
          <w:szCs w:val="32"/>
          <w:highlight w:val="none"/>
        </w:rPr>
        <w:t>负责指导</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协调</w:t>
      </w:r>
      <w:r>
        <w:rPr>
          <w:rFonts w:hint="eastAsia" w:ascii="仿宋" w:hAnsi="仿宋" w:eastAsia="仿宋"/>
          <w:sz w:val="32"/>
          <w:szCs w:val="32"/>
          <w:highlight w:val="none"/>
          <w:lang w:eastAsia="zh-CN"/>
        </w:rPr>
        <w:t>、服务全市各类会展活动，承担上级交办的会展相关工作；负责全市党政机关举办各类展会清理整顿等事务性工作；负责为城市商业网点规划、商业体系建设、商贸市场和农产品流通体系建设提供保障等相关工作；负责落实促进市场发展各项政策措施、规划、规范等；负责为商贸流通提供服务保障等相关工作；协助开展商贸流通发展状况的调查研究，掌握商贸流通发展态势，配合做好相关信息的采集和发布；负责为商贸流通提供培训、管理、招商、融资等咨询和精准服务；负责全市农贸市场城建卫生城市相关工作；协调督促农贸市场贯彻执行安全生产法律法规。</w:t>
      </w:r>
    </w:p>
    <w:p>
      <w:pPr>
        <w:ind w:firstLine="640" w:firstLineChars="200"/>
        <w:rPr>
          <w:rFonts w:hint="eastAsia" w:ascii="TimesNewRoman" w:hAnsi="TimesNewRoman" w:eastAsia="仿宋_GB2312" w:cs="TimesNewRoman"/>
          <w:kern w:val="0"/>
          <w:sz w:val="32"/>
          <w:szCs w:val="32"/>
          <w:highlight w:val="none"/>
        </w:rPr>
      </w:pPr>
      <w:r>
        <w:rPr>
          <w:rFonts w:hint="eastAsia" w:ascii="仿宋_GB2312" w:hAnsi="仿宋_GB2312" w:eastAsia="仿宋_GB2312" w:cs="仿宋_GB2312"/>
          <w:kern w:val="0"/>
          <w:sz w:val="32"/>
          <w:szCs w:val="32"/>
          <w:highlight w:val="none"/>
        </w:rPr>
        <w:t>（2）立项依据</w:t>
      </w:r>
      <w:r>
        <w:rPr>
          <w:rFonts w:hint="eastAsia" w:ascii="仿宋_GB2312" w:hAnsi="仿宋_GB2312" w:eastAsia="仿宋_GB2312" w:cs="仿宋_GB2312"/>
          <w:kern w:val="0"/>
          <w:sz w:val="32"/>
          <w:szCs w:val="32"/>
          <w:highlight w:val="none"/>
          <w:lang w:eastAsia="zh-CN"/>
        </w:rPr>
        <w:t>：</w:t>
      </w:r>
      <w:r>
        <w:rPr>
          <w:rFonts w:hint="eastAsia" w:ascii="TimesNewRoman" w:hAnsi="TimesNewRoman" w:eastAsia="仿宋_GB2312" w:cs="TimesNewRoman"/>
          <w:kern w:val="0"/>
          <w:sz w:val="32"/>
          <w:szCs w:val="32"/>
          <w:highlight w:val="none"/>
        </w:rPr>
        <w:t>市政府文件</w:t>
      </w:r>
    </w:p>
    <w:p>
      <w:pPr>
        <w:adjustRightInd w:val="0"/>
        <w:snapToGrid w:val="0"/>
        <w:spacing w:line="60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（3）实施主体</w:t>
      </w:r>
      <w:r>
        <w:rPr>
          <w:rFonts w:hint="eastAsia" w:ascii="仿宋_GB2312" w:hAnsi="仿宋_GB2312" w:eastAsia="仿宋_GB2312" w:cs="仿宋_GB2312"/>
          <w:kern w:val="0"/>
          <w:sz w:val="32"/>
          <w:szCs w:val="32"/>
          <w:highlight w:val="none"/>
          <w:lang w:eastAsia="zh-CN"/>
        </w:rPr>
        <w:t>：淮北市商贸发展服务中心</w:t>
      </w:r>
    </w:p>
    <w:p>
      <w:pPr>
        <w:adjustRightInd w:val="0"/>
        <w:snapToGrid w:val="0"/>
        <w:spacing w:line="60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（4）起止时间</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2025年1月-12月</w:t>
      </w:r>
    </w:p>
    <w:p>
      <w:pPr>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）项目内容</w:t>
      </w:r>
      <w:r>
        <w:rPr>
          <w:rFonts w:hint="eastAsia" w:ascii="仿宋_GB2312" w:hAnsi="仿宋_GB2312" w:eastAsia="仿宋_GB2312" w:cs="仿宋_GB2312"/>
          <w:kern w:val="0"/>
          <w:sz w:val="32"/>
          <w:szCs w:val="32"/>
          <w:highlight w:val="none"/>
          <w:lang w:eastAsia="zh-CN"/>
        </w:rPr>
        <w:t>：</w:t>
      </w:r>
      <w:r>
        <w:rPr>
          <w:rFonts w:hint="eastAsia" w:ascii="仿宋_GB2312" w:hAnsi="仿宋" w:eastAsia="仿宋_GB2312" w:cs="宋体"/>
          <w:kern w:val="0"/>
          <w:sz w:val="32"/>
          <w:szCs w:val="32"/>
          <w:highlight w:val="none"/>
        </w:rPr>
        <w:t>开展组织参加</w:t>
      </w:r>
      <w:r>
        <w:rPr>
          <w:rFonts w:hint="eastAsia" w:ascii="仿宋_GB2312" w:hAnsi="仿宋_GB2312" w:eastAsia="仿宋_GB2312" w:cs="仿宋_GB2312"/>
          <w:sz w:val="32"/>
          <w:szCs w:val="32"/>
          <w:highlight w:val="none"/>
        </w:rPr>
        <w:t>各种展会及</w:t>
      </w:r>
      <w:r>
        <w:rPr>
          <w:rFonts w:hint="eastAsia" w:ascii="仿宋" w:hAnsi="仿宋" w:eastAsia="仿宋"/>
          <w:sz w:val="32"/>
          <w:szCs w:val="32"/>
          <w:highlight w:val="none"/>
          <w:lang w:eastAsia="zh-CN"/>
        </w:rPr>
        <w:t>负责为商贸流通提供服务保障等相关工作</w:t>
      </w:r>
      <w:r>
        <w:rPr>
          <w:rFonts w:hint="eastAsia" w:ascii="仿宋_GB2312" w:hAnsi="仿宋_GB2312" w:eastAsia="仿宋_GB2312" w:cs="仿宋_GB2312"/>
          <w:sz w:val="32"/>
          <w:szCs w:val="32"/>
          <w:highlight w:val="none"/>
        </w:rPr>
        <w:t>。</w:t>
      </w:r>
    </w:p>
    <w:p>
      <w:pPr>
        <w:ind w:firstLine="640" w:firstLineChars="200"/>
        <w:rPr>
          <w:rFonts w:ascii="TimesNewRoman" w:hAnsi="TimesNewRoman" w:eastAsia="仿宋_GB2312" w:cs="TimesNewRoman"/>
          <w:kern w:val="0"/>
          <w:sz w:val="32"/>
          <w:szCs w:val="32"/>
          <w:highlight w:val="none"/>
        </w:rPr>
      </w:pPr>
      <w:r>
        <w:rPr>
          <w:rFonts w:hint="eastAsia" w:ascii="仿宋_GB2312" w:hAnsi="仿宋_GB2312" w:eastAsia="仿宋_GB2312" w:cs="仿宋_GB2312"/>
          <w:kern w:val="0"/>
          <w:sz w:val="32"/>
          <w:szCs w:val="32"/>
          <w:highlight w:val="none"/>
        </w:rPr>
        <w:t>（6）年度预算</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安排</w:t>
      </w:r>
      <w:r>
        <w:rPr>
          <w:rFonts w:hint="eastAsia" w:ascii="仿宋_GB2312" w:hAnsi="仿宋" w:eastAsia="仿宋_GB2312"/>
          <w:sz w:val="32"/>
          <w:szCs w:val="32"/>
          <w:highlight w:val="none"/>
        </w:rPr>
        <w:t>办公费</w:t>
      </w:r>
      <w:r>
        <w:rPr>
          <w:rFonts w:hint="eastAsia" w:ascii="仿宋_GB2312" w:hAnsi="仿宋" w:eastAsia="仿宋_GB2312"/>
          <w:sz w:val="32"/>
          <w:szCs w:val="32"/>
          <w:highlight w:val="none"/>
          <w:lang w:val="en-US" w:eastAsia="zh-CN"/>
        </w:rPr>
        <w:t>3.48</w:t>
      </w:r>
      <w:r>
        <w:rPr>
          <w:rFonts w:hint="eastAsia" w:ascii="仿宋_GB2312" w:hAnsi="仿宋" w:eastAsia="仿宋_GB2312"/>
          <w:sz w:val="32"/>
          <w:szCs w:val="32"/>
          <w:highlight w:val="none"/>
        </w:rPr>
        <w:t>万元、邮电费</w:t>
      </w:r>
      <w:r>
        <w:rPr>
          <w:rFonts w:ascii="仿宋_GB2312" w:hAnsi="仿宋" w:eastAsia="仿宋_GB2312"/>
          <w:sz w:val="32"/>
          <w:szCs w:val="32"/>
          <w:highlight w:val="none"/>
        </w:rPr>
        <w:t>2.5</w:t>
      </w:r>
      <w:r>
        <w:rPr>
          <w:rFonts w:hint="eastAsia" w:ascii="仿宋_GB2312" w:hAnsi="仿宋" w:eastAsia="仿宋_GB2312"/>
          <w:sz w:val="32"/>
          <w:szCs w:val="32"/>
          <w:highlight w:val="none"/>
        </w:rPr>
        <w:t>万元、差旅费</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万元、其他商品和服务支出</w:t>
      </w:r>
      <w:r>
        <w:rPr>
          <w:rFonts w:hint="eastAsia" w:ascii="仿宋_GB2312" w:hAnsi="仿宋" w:eastAsia="仿宋_GB2312"/>
          <w:sz w:val="32"/>
          <w:szCs w:val="32"/>
          <w:highlight w:val="none"/>
          <w:lang w:val="en-US" w:eastAsia="zh-CN"/>
        </w:rPr>
        <w:t>2</w:t>
      </w:r>
      <w:r>
        <w:rPr>
          <w:rFonts w:ascii="仿宋_GB2312" w:hAnsi="仿宋" w:eastAsia="仿宋_GB2312"/>
          <w:sz w:val="32"/>
          <w:szCs w:val="32"/>
          <w:highlight w:val="none"/>
        </w:rPr>
        <w:t>.5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、办公设备购置</w:t>
      </w:r>
      <w:r>
        <w:rPr>
          <w:rFonts w:hint="eastAsia" w:ascii="仿宋_GB2312" w:hAnsi="仿宋" w:eastAsia="仿宋_GB2312"/>
          <w:sz w:val="32"/>
          <w:szCs w:val="32"/>
          <w:highlight w:val="none"/>
          <w:lang w:val="en-US" w:eastAsia="zh-CN"/>
        </w:rPr>
        <w:t>0.52万元</w:t>
      </w:r>
      <w:r>
        <w:rPr>
          <w:rFonts w:hint="eastAsia" w:ascii="仿宋_GB2312" w:hAnsi="仿宋" w:eastAsia="仿宋_GB2312"/>
          <w:sz w:val="32"/>
          <w:szCs w:val="32"/>
          <w:highlight w:val="none"/>
        </w:rPr>
        <w:t>。</w:t>
      </w:r>
    </w:p>
    <w:p>
      <w:pPr>
        <w:adjustRightInd w:val="0"/>
        <w:snapToGrid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436"/>
        <w:gridCol w:w="1913"/>
        <w:gridCol w:w="1848"/>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254" w:type="dxa"/>
            <w:gridSpan w:val="7"/>
            <w:tcBorders>
              <w:top w:val="nil"/>
              <w:left w:val="nil"/>
              <w:bottom w:val="nil"/>
              <w:right w:val="nil"/>
            </w:tcBorders>
            <w:vAlign w:val="center"/>
          </w:tcPr>
          <w:p>
            <w:pPr>
              <w:widowControl/>
              <w:jc w:val="center"/>
              <w:textAlignment w:val="center"/>
              <w:rPr>
                <w:rFonts w:ascii="宋体" w:cs="宋体"/>
                <w:b/>
                <w:bCs/>
                <w:szCs w:val="32"/>
                <w:highlight w:val="none"/>
              </w:rPr>
            </w:pPr>
            <w:r>
              <w:rPr>
                <w:rFonts w:hint="eastAsia" w:ascii="宋体" w:hAnsi="宋体" w:eastAsia="宋体" w:cs="宋体"/>
                <w:b/>
                <w:color w:val="000000"/>
                <w:kern w:val="0"/>
                <w:sz w:val="28"/>
                <w:szCs w:val="28"/>
                <w:highlight w:val="none"/>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54" w:type="dxa"/>
            <w:gridSpan w:val="7"/>
            <w:tcBorders>
              <w:top w:val="nil"/>
              <w:left w:val="nil"/>
              <w:right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项目名称</w:t>
            </w:r>
          </w:p>
        </w:tc>
        <w:tc>
          <w:tcPr>
            <w:tcW w:w="7811" w:type="dxa"/>
            <w:gridSpan w:val="4"/>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商贸工作运行经费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淮北市商务局</w:t>
            </w:r>
          </w:p>
        </w:tc>
        <w:tc>
          <w:tcPr>
            <w:tcW w:w="1848" w:type="dxa"/>
            <w:tcBorders>
              <w:tl2br w:val="nil"/>
              <w:tr2bl w:val="nil"/>
            </w:tcBorders>
            <w:vAlign w:val="center"/>
          </w:tcPr>
          <w:p>
            <w:pPr>
              <w:widowControl/>
              <w:jc w:val="center"/>
              <w:textAlignment w:val="center"/>
              <w:rPr>
                <w:highlight w:val="none"/>
              </w:rPr>
            </w:pPr>
            <w:r>
              <w:rPr>
                <w:rFonts w:hint="eastAsia" w:ascii="宋体" w:hAnsi="宋体" w:eastAsia="宋体" w:cs="宋体"/>
                <w:color w:val="000000"/>
                <w:kern w:val="0"/>
                <w:sz w:val="20"/>
                <w:szCs w:val="20"/>
                <w:highlight w:val="none"/>
              </w:rPr>
              <w:t>实施单位</w:t>
            </w:r>
          </w:p>
        </w:tc>
        <w:tc>
          <w:tcPr>
            <w:tcW w:w="2614" w:type="dxa"/>
            <w:tcBorders>
              <w:tl2br w:val="nil"/>
              <w:tr2bl w:val="nil"/>
            </w:tcBorders>
            <w:vAlign w:val="center"/>
          </w:tcPr>
          <w:p>
            <w:pPr>
              <w:jc w:val="center"/>
              <w:rPr>
                <w:rFonts w:hint="eastAsia" w:eastAsiaTheme="minorEastAsia"/>
                <w:highlight w:val="none"/>
                <w:lang w:eastAsia="zh-CN"/>
              </w:rPr>
            </w:pPr>
            <w:r>
              <w:rPr>
                <w:rFonts w:hint="eastAsia" w:ascii="宋体" w:cs="宋体"/>
                <w:sz w:val="20"/>
                <w:highlight w:val="none"/>
                <w:lang w:eastAsia="zh-CN"/>
              </w:rPr>
              <w:t>淮北市商贸发展服务中心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项目来源</w:t>
            </w:r>
          </w:p>
        </w:tc>
        <w:tc>
          <w:tcPr>
            <w:tcW w:w="3349"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常年项目</w:t>
            </w:r>
          </w:p>
        </w:tc>
        <w:tc>
          <w:tcPr>
            <w:tcW w:w="1848" w:type="dxa"/>
            <w:tcBorders>
              <w:tl2br w:val="nil"/>
              <w:tr2bl w:val="nil"/>
            </w:tcBorders>
            <w:vAlign w:val="center"/>
          </w:tcPr>
          <w:p>
            <w:pPr>
              <w:widowControl/>
              <w:jc w:val="center"/>
              <w:textAlignment w:val="center"/>
              <w:rPr>
                <w:highlight w:val="none"/>
              </w:rPr>
            </w:pPr>
            <w:r>
              <w:rPr>
                <w:rFonts w:hint="eastAsia" w:ascii="宋体" w:hAnsi="宋体" w:eastAsia="宋体" w:cs="宋体"/>
                <w:color w:val="000000"/>
                <w:kern w:val="0"/>
                <w:sz w:val="20"/>
                <w:szCs w:val="20"/>
                <w:highlight w:val="none"/>
              </w:rPr>
              <w:t>项目期</w:t>
            </w:r>
          </w:p>
        </w:tc>
        <w:tc>
          <w:tcPr>
            <w:tcW w:w="2614" w:type="dxa"/>
            <w:tcBorders>
              <w:tl2br w:val="nil"/>
              <w:tr2bl w:val="nil"/>
            </w:tcBorders>
            <w:vAlign w:val="center"/>
          </w:tcPr>
          <w:p>
            <w:pPr>
              <w:jc w:val="center"/>
              <w:rPr>
                <w:rFonts w:hint="default" w:eastAsiaTheme="minorEastAsia"/>
                <w:highlight w:val="none"/>
                <w:lang w:val="en-US" w:eastAsia="zh-CN"/>
              </w:rPr>
            </w:pPr>
            <w:r>
              <w:rPr>
                <w:rFonts w:hint="eastAsia"/>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项目资金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（万元）</w:t>
            </w:r>
          </w:p>
        </w:tc>
        <w:tc>
          <w:tcPr>
            <w:tcW w:w="3349" w:type="dxa"/>
            <w:gridSpan w:val="2"/>
            <w:tcBorders>
              <w:tl2br w:val="nil"/>
              <w:tr2bl w:val="nil"/>
            </w:tcBorders>
            <w:vAlign w:val="center"/>
          </w:tcPr>
          <w:p>
            <w:pPr>
              <w:widowControl/>
              <w:jc w:val="left"/>
              <w:textAlignment w:val="center"/>
              <w:rPr>
                <w:rFonts w:ascii="宋体" w:cs="宋体"/>
                <w:sz w:val="20"/>
                <w:highlight w:val="none"/>
              </w:rPr>
            </w:pPr>
            <w:r>
              <w:rPr>
                <w:rFonts w:hint="eastAsia" w:ascii="宋体" w:hAnsi="宋体" w:eastAsia="宋体" w:cs="宋体"/>
                <w:color w:val="000000"/>
                <w:kern w:val="0"/>
                <w:sz w:val="20"/>
                <w:szCs w:val="20"/>
                <w:highlight w:val="none"/>
              </w:rPr>
              <w:t xml:space="preserve"> 年度资金总额：</w:t>
            </w:r>
          </w:p>
        </w:tc>
        <w:tc>
          <w:tcPr>
            <w:tcW w:w="4462" w:type="dxa"/>
            <w:gridSpan w:val="2"/>
            <w:tcBorders>
              <w:tl2br w:val="nil"/>
              <w:tr2bl w:val="nil"/>
            </w:tcBorders>
            <w:vAlign w:val="center"/>
          </w:tcPr>
          <w:p>
            <w:pPr>
              <w:jc w:val="center"/>
              <w:rPr>
                <w:rFonts w:hint="default" w:ascii="宋体" w:cs="宋体" w:eastAsiaTheme="minorEastAsia"/>
                <w:sz w:val="20"/>
                <w:highlight w:val="none"/>
                <w:lang w:val="en-US" w:eastAsia="zh-CN"/>
              </w:rPr>
            </w:pPr>
            <w:r>
              <w:rPr>
                <w:rFonts w:hint="eastAsia" w:ascii="宋体" w:cs="宋体"/>
                <w:sz w:val="20"/>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highlight w:val="none"/>
              </w:rPr>
            </w:pPr>
          </w:p>
        </w:tc>
        <w:tc>
          <w:tcPr>
            <w:tcW w:w="3349" w:type="dxa"/>
            <w:gridSpan w:val="2"/>
            <w:tcBorders>
              <w:tl2br w:val="nil"/>
              <w:tr2bl w:val="nil"/>
            </w:tcBorders>
            <w:vAlign w:val="center"/>
          </w:tcPr>
          <w:p>
            <w:pPr>
              <w:widowControl/>
              <w:jc w:val="left"/>
              <w:textAlignment w:val="center"/>
              <w:rPr>
                <w:rFonts w:ascii="宋体" w:cs="宋体"/>
                <w:sz w:val="20"/>
                <w:highlight w:val="none"/>
              </w:rPr>
            </w:pPr>
            <w:r>
              <w:rPr>
                <w:rFonts w:hint="eastAsia" w:ascii="宋体" w:hAnsi="宋体" w:eastAsia="宋体" w:cs="宋体"/>
                <w:color w:val="000000"/>
                <w:kern w:val="0"/>
                <w:sz w:val="20"/>
                <w:szCs w:val="20"/>
                <w:highlight w:val="none"/>
              </w:rPr>
              <w:t xml:space="preserve">   其中：财政拨款</w:t>
            </w:r>
          </w:p>
        </w:tc>
        <w:tc>
          <w:tcPr>
            <w:tcW w:w="4462" w:type="dxa"/>
            <w:gridSpan w:val="2"/>
            <w:tcBorders>
              <w:tl2br w:val="nil"/>
              <w:tr2bl w:val="nil"/>
            </w:tcBorders>
            <w:vAlign w:val="center"/>
          </w:tcPr>
          <w:p>
            <w:pPr>
              <w:jc w:val="center"/>
              <w:rPr>
                <w:rFonts w:hint="default" w:ascii="宋体" w:cs="宋体" w:eastAsiaTheme="minorEastAsia"/>
                <w:sz w:val="20"/>
                <w:highlight w:val="none"/>
                <w:lang w:val="en-US" w:eastAsia="zh-CN"/>
              </w:rPr>
            </w:pPr>
            <w:r>
              <w:rPr>
                <w:rFonts w:hint="eastAsia" w:ascii="宋体" w:cs="宋体"/>
                <w:sz w:val="20"/>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highlight w:val="none"/>
              </w:rPr>
            </w:pPr>
          </w:p>
        </w:tc>
        <w:tc>
          <w:tcPr>
            <w:tcW w:w="3349" w:type="dxa"/>
            <w:gridSpan w:val="2"/>
            <w:tcBorders>
              <w:tl2br w:val="nil"/>
              <w:tr2bl w:val="nil"/>
            </w:tcBorders>
            <w:vAlign w:val="center"/>
          </w:tcPr>
          <w:p>
            <w:pPr>
              <w:widowControl/>
              <w:jc w:val="left"/>
              <w:textAlignment w:val="center"/>
              <w:rPr>
                <w:rFonts w:ascii="宋体" w:cs="宋体"/>
                <w:sz w:val="20"/>
                <w:highlight w:val="none"/>
              </w:rPr>
            </w:pPr>
            <w:r>
              <w:rPr>
                <w:rFonts w:hint="eastAsia" w:ascii="宋体" w:hAnsi="宋体" w:eastAsia="宋体" w:cs="宋体"/>
                <w:color w:val="000000"/>
                <w:kern w:val="0"/>
                <w:sz w:val="20"/>
                <w:szCs w:val="20"/>
                <w:highlight w:val="none"/>
              </w:rPr>
              <w:t xml:space="preserve">         上年结转</w:t>
            </w:r>
          </w:p>
        </w:tc>
        <w:tc>
          <w:tcPr>
            <w:tcW w:w="4462" w:type="dxa"/>
            <w:gridSpan w:val="2"/>
            <w:tcBorders>
              <w:tl2br w:val="nil"/>
              <w:tr2bl w:val="nil"/>
            </w:tcBorders>
            <w:vAlign w:val="center"/>
          </w:tcPr>
          <w:p>
            <w:pPr>
              <w:jc w:val="center"/>
              <w:rPr>
                <w:rFonts w:hint="eastAsia" w:ascii="宋体" w:cs="宋体" w:eastAsiaTheme="minorEastAsia"/>
                <w:sz w:val="20"/>
                <w:highlight w:val="none"/>
                <w:lang w:val="en-US" w:eastAsia="zh-CN"/>
              </w:rPr>
            </w:pPr>
            <w:r>
              <w:rPr>
                <w:rFonts w:hint="eastAsia" w:ascii="宋体" w:cs="宋体"/>
                <w:sz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highlight w:val="none"/>
              </w:rPr>
            </w:pPr>
          </w:p>
        </w:tc>
        <w:tc>
          <w:tcPr>
            <w:tcW w:w="3349" w:type="dxa"/>
            <w:gridSpan w:val="2"/>
            <w:tcBorders>
              <w:tl2br w:val="nil"/>
              <w:tr2bl w:val="nil"/>
            </w:tcBorders>
            <w:vAlign w:val="center"/>
          </w:tcPr>
          <w:p>
            <w:pPr>
              <w:widowControl/>
              <w:jc w:val="left"/>
              <w:textAlignment w:val="center"/>
              <w:rPr>
                <w:rFonts w:ascii="宋体" w:cs="宋体"/>
                <w:sz w:val="20"/>
                <w:highlight w:val="none"/>
              </w:rPr>
            </w:pPr>
            <w:r>
              <w:rPr>
                <w:rFonts w:hint="eastAsia" w:ascii="宋体" w:hAnsi="宋体" w:eastAsia="宋体" w:cs="宋体"/>
                <w:color w:val="000000"/>
                <w:kern w:val="0"/>
                <w:sz w:val="20"/>
                <w:szCs w:val="20"/>
                <w:highlight w:val="none"/>
              </w:rPr>
              <w:t xml:space="preserve">         其他资金</w:t>
            </w:r>
          </w:p>
        </w:tc>
        <w:tc>
          <w:tcPr>
            <w:tcW w:w="4462" w:type="dxa"/>
            <w:gridSpan w:val="2"/>
            <w:tcBorders>
              <w:tl2br w:val="nil"/>
              <w:tr2bl w:val="nil"/>
            </w:tcBorders>
            <w:vAlign w:val="center"/>
          </w:tcPr>
          <w:p>
            <w:pPr>
              <w:jc w:val="center"/>
              <w:rPr>
                <w:rFonts w:hint="eastAsia" w:ascii="宋体" w:cs="宋体" w:eastAsiaTheme="minorEastAsia"/>
                <w:sz w:val="20"/>
                <w:highlight w:val="none"/>
                <w:lang w:val="en-US" w:eastAsia="zh-CN"/>
              </w:rPr>
            </w:pPr>
            <w:r>
              <w:rPr>
                <w:rFonts w:hint="eastAsia" w:ascii="宋体" w:cs="宋体"/>
                <w:sz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年度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目标</w:t>
            </w:r>
          </w:p>
        </w:tc>
        <w:tc>
          <w:tcPr>
            <w:tcW w:w="8816" w:type="dxa"/>
            <w:gridSpan w:val="6"/>
            <w:tcBorders>
              <w:tl2br w:val="nil"/>
              <w:tr2bl w:val="nil"/>
            </w:tcBorders>
            <w:vAlign w:val="center"/>
          </w:tcPr>
          <w:p>
            <w:pPr>
              <w:jc w:val="left"/>
              <w:rPr>
                <w:rFonts w:hint="eastAsia" w:ascii="宋体" w:cs="宋体"/>
                <w:sz w:val="20"/>
                <w:highlight w:val="none"/>
                <w:lang w:val="en-US" w:eastAsia="zh-CN"/>
              </w:rPr>
            </w:pPr>
            <w:r>
              <w:rPr>
                <w:rFonts w:hint="eastAsia" w:ascii="宋体" w:cs="宋体"/>
                <w:sz w:val="20"/>
                <w:highlight w:val="none"/>
                <w:lang w:eastAsia="zh-CN"/>
              </w:rPr>
              <w:t>目标</w:t>
            </w:r>
            <w:r>
              <w:rPr>
                <w:rFonts w:hint="eastAsia" w:ascii="宋体" w:cs="宋体"/>
                <w:sz w:val="20"/>
                <w:highlight w:val="none"/>
                <w:lang w:val="en-US" w:eastAsia="zh-CN"/>
              </w:rPr>
              <w:t>1：负责指导、协调、服务全市各类会展活动，承担上级交办的会展相关工作。</w:t>
            </w:r>
          </w:p>
          <w:p>
            <w:pPr>
              <w:jc w:val="left"/>
              <w:rPr>
                <w:rFonts w:hint="default" w:ascii="宋体" w:cs="宋体"/>
                <w:sz w:val="20"/>
                <w:highlight w:val="none"/>
                <w:lang w:val="en-US" w:eastAsia="zh-CN"/>
              </w:rPr>
            </w:pPr>
            <w:r>
              <w:rPr>
                <w:rFonts w:hint="eastAsia" w:ascii="宋体" w:cs="宋体"/>
                <w:sz w:val="20"/>
                <w:highlight w:val="none"/>
                <w:lang w:val="en-US" w:eastAsia="zh-CN"/>
              </w:rPr>
              <w:t>目标2：负责城市商业网点规划、商业体系建设、商贸市场和农产品流通体系建设提供服务保障等相关工作。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指</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标</w:t>
            </w:r>
          </w:p>
        </w:tc>
        <w:tc>
          <w:tcPr>
            <w:tcW w:w="723" w:type="dxa"/>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一级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指标</w:t>
            </w: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二级指标</w:t>
            </w:r>
          </w:p>
        </w:tc>
        <w:tc>
          <w:tcPr>
            <w:tcW w:w="1913" w:type="dxa"/>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三级指标</w:t>
            </w:r>
          </w:p>
        </w:tc>
        <w:tc>
          <w:tcPr>
            <w:tcW w:w="4462" w:type="dxa"/>
            <w:gridSpan w:val="2"/>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restart"/>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产出指标</w:t>
            </w: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数量指标</w:t>
            </w:r>
          </w:p>
        </w:tc>
        <w:tc>
          <w:tcPr>
            <w:tcW w:w="1913" w:type="dxa"/>
            <w:tcBorders>
              <w:tl2br w:val="nil"/>
              <w:tr2bl w:val="nil"/>
            </w:tcBorders>
            <w:vAlign w:val="center"/>
          </w:tcPr>
          <w:p>
            <w:pPr>
              <w:widowControl/>
              <w:jc w:val="left"/>
              <w:textAlignment w:val="center"/>
              <w:rPr>
                <w:rFonts w:hint="eastAsia" w:ascii="宋体" w:cs="宋体" w:eastAsiaTheme="minorEastAsia"/>
                <w:sz w:val="20"/>
                <w:highlight w:val="none"/>
                <w:lang w:eastAsia="zh-CN"/>
              </w:rPr>
            </w:pPr>
            <w:r>
              <w:rPr>
                <w:rFonts w:hint="eastAsia" w:ascii="宋体" w:cs="宋体"/>
                <w:sz w:val="20"/>
                <w:highlight w:val="none"/>
                <w:lang w:eastAsia="zh-CN"/>
              </w:rPr>
              <w:t>去年参会数量</w:t>
            </w:r>
          </w:p>
        </w:tc>
        <w:tc>
          <w:tcPr>
            <w:tcW w:w="4462" w:type="dxa"/>
            <w:gridSpan w:val="2"/>
            <w:tcBorders>
              <w:tl2br w:val="nil"/>
              <w:tr2bl w:val="nil"/>
            </w:tcBorders>
            <w:vAlign w:val="center"/>
          </w:tcPr>
          <w:p>
            <w:pPr>
              <w:jc w:val="center"/>
              <w:rPr>
                <w:rFonts w:hint="eastAsia" w:ascii="宋体" w:cs="宋体" w:eastAsiaTheme="minorEastAsia"/>
                <w:sz w:val="20"/>
                <w:highlight w:val="none"/>
                <w:lang w:val="en-US" w:eastAsia="zh-CN"/>
              </w:rPr>
            </w:pPr>
            <w:r>
              <w:rPr>
                <w:rFonts w:hint="eastAsia" w:ascii="宋体" w:cs="宋体"/>
                <w:sz w:val="20"/>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质量指标</w:t>
            </w:r>
          </w:p>
        </w:tc>
        <w:tc>
          <w:tcPr>
            <w:tcW w:w="1913" w:type="dxa"/>
            <w:tcBorders>
              <w:tl2br w:val="nil"/>
              <w:tr2bl w:val="nil"/>
            </w:tcBorders>
            <w:vAlign w:val="center"/>
          </w:tcPr>
          <w:p>
            <w:pPr>
              <w:widowControl/>
              <w:jc w:val="left"/>
              <w:textAlignment w:val="center"/>
              <w:rPr>
                <w:rFonts w:hint="eastAsia" w:ascii="宋体" w:cs="宋体" w:eastAsiaTheme="minorEastAsia"/>
                <w:sz w:val="20"/>
                <w:highlight w:val="none"/>
                <w:lang w:eastAsia="zh-CN"/>
              </w:rPr>
            </w:pPr>
            <w:r>
              <w:rPr>
                <w:rFonts w:hint="eastAsia" w:ascii="宋体" w:cs="宋体"/>
                <w:sz w:val="20"/>
                <w:highlight w:val="none"/>
                <w:lang w:eastAsia="zh-CN"/>
              </w:rPr>
              <w:t>资金拨付合格性</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时效指标</w:t>
            </w:r>
          </w:p>
        </w:tc>
        <w:tc>
          <w:tcPr>
            <w:tcW w:w="1913" w:type="dxa"/>
            <w:tcBorders>
              <w:tl2br w:val="nil"/>
              <w:tr2bl w:val="nil"/>
            </w:tcBorders>
            <w:vAlign w:val="center"/>
          </w:tcPr>
          <w:p>
            <w:pPr>
              <w:widowControl/>
              <w:jc w:val="left"/>
              <w:textAlignment w:val="center"/>
              <w:rPr>
                <w:rFonts w:hint="eastAsia" w:ascii="宋体" w:eastAsia="宋体" w:cs="宋体"/>
                <w:sz w:val="20"/>
                <w:highlight w:val="none"/>
                <w:lang w:eastAsia="zh-CN"/>
              </w:rPr>
            </w:pPr>
            <w:r>
              <w:rPr>
                <w:rFonts w:hint="eastAsia" w:ascii="宋体" w:eastAsia="宋体" w:cs="宋体"/>
                <w:sz w:val="20"/>
                <w:highlight w:val="none"/>
                <w:lang w:eastAsia="zh-CN"/>
              </w:rPr>
              <w:t>资金拨付及时性</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成本指标</w:t>
            </w:r>
          </w:p>
        </w:tc>
        <w:tc>
          <w:tcPr>
            <w:tcW w:w="1913" w:type="dxa"/>
            <w:tcBorders>
              <w:tl2br w:val="nil"/>
              <w:tr2bl w:val="nil"/>
            </w:tcBorders>
            <w:vAlign w:val="center"/>
          </w:tcPr>
          <w:p>
            <w:pPr>
              <w:widowControl/>
              <w:jc w:val="left"/>
              <w:textAlignment w:val="center"/>
              <w:rPr>
                <w:rFonts w:hint="eastAsia" w:ascii="宋体" w:eastAsia="宋体" w:cs="宋体"/>
                <w:sz w:val="20"/>
                <w:highlight w:val="none"/>
                <w:lang w:eastAsia="zh-CN"/>
              </w:rPr>
            </w:pPr>
            <w:r>
              <w:rPr>
                <w:rFonts w:hint="eastAsia" w:ascii="宋体" w:eastAsia="宋体" w:cs="宋体"/>
                <w:sz w:val="20"/>
                <w:highlight w:val="none"/>
                <w:lang w:eastAsia="zh-CN"/>
              </w:rPr>
              <w:t>费用支出总额</w:t>
            </w:r>
          </w:p>
        </w:tc>
        <w:tc>
          <w:tcPr>
            <w:tcW w:w="4462" w:type="dxa"/>
            <w:gridSpan w:val="2"/>
            <w:tcBorders>
              <w:tl2br w:val="nil"/>
              <w:tr2bl w:val="nil"/>
            </w:tcBorders>
            <w:vAlign w:val="center"/>
          </w:tcPr>
          <w:p>
            <w:pPr>
              <w:jc w:val="center"/>
              <w:rPr>
                <w:rFonts w:hint="default" w:ascii="宋体" w:cs="宋体" w:eastAsiaTheme="minorEastAsia"/>
                <w:sz w:val="20"/>
                <w:highlight w:val="none"/>
                <w:lang w:val="en-US" w:eastAsia="zh-CN"/>
              </w:rPr>
            </w:pPr>
            <w:r>
              <w:rPr>
                <w:rFonts w:hint="eastAsia" w:ascii="宋体" w:cs="宋体"/>
                <w:sz w:val="20"/>
                <w:highlight w:val="no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restart"/>
            <w:tcBorders>
              <w:tl2br w:val="nil"/>
              <w:tr2bl w:val="nil"/>
            </w:tcBorders>
            <w:vAlign w:val="center"/>
          </w:tcPr>
          <w:p>
            <w:pPr>
              <w:widowControl/>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效益指标</w:t>
            </w: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经济效益指标</w:t>
            </w:r>
          </w:p>
        </w:tc>
        <w:tc>
          <w:tcPr>
            <w:tcW w:w="1913" w:type="dxa"/>
            <w:tcBorders>
              <w:tl2br w:val="nil"/>
              <w:tr2bl w:val="nil"/>
            </w:tcBorders>
            <w:vAlign w:val="center"/>
          </w:tcPr>
          <w:p>
            <w:pPr>
              <w:widowControl/>
              <w:jc w:val="left"/>
              <w:textAlignment w:val="center"/>
              <w:rPr>
                <w:rFonts w:hint="eastAsia" w:ascii="宋体" w:cs="宋体" w:eastAsiaTheme="minorEastAsia"/>
                <w:sz w:val="20"/>
                <w:highlight w:val="none"/>
                <w:lang w:eastAsia="zh-CN"/>
              </w:rPr>
            </w:pPr>
            <w:r>
              <w:rPr>
                <w:rFonts w:hint="eastAsia" w:ascii="宋体" w:cs="宋体"/>
                <w:sz w:val="20"/>
                <w:highlight w:val="none"/>
                <w:lang w:eastAsia="zh-CN"/>
              </w:rPr>
              <w:t>为商贸流通提供服务保障等相关工作</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为商贸流通提供培训、管理、招商、融资等咨询和精准服务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社会效益指标</w:t>
            </w:r>
          </w:p>
        </w:tc>
        <w:tc>
          <w:tcPr>
            <w:tcW w:w="1913" w:type="dxa"/>
            <w:tcBorders>
              <w:tl2br w:val="nil"/>
              <w:tr2bl w:val="nil"/>
            </w:tcBorders>
            <w:vAlign w:val="center"/>
          </w:tcPr>
          <w:p>
            <w:pPr>
              <w:widowControl/>
              <w:jc w:val="left"/>
              <w:textAlignment w:val="center"/>
              <w:rPr>
                <w:rFonts w:hint="eastAsia" w:ascii="宋体" w:cs="宋体" w:eastAsiaTheme="minorEastAsia"/>
                <w:sz w:val="20"/>
                <w:highlight w:val="none"/>
                <w:lang w:eastAsia="zh-CN"/>
              </w:rPr>
            </w:pPr>
            <w:r>
              <w:rPr>
                <w:rFonts w:hint="eastAsia" w:ascii="宋体" w:cs="宋体"/>
                <w:sz w:val="20"/>
                <w:highlight w:val="none"/>
                <w:lang w:eastAsia="zh-CN"/>
              </w:rPr>
              <w:t>大力推进招商引资</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带动就业，促进经济发展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textAlignment w:val="center"/>
              <w:rPr>
                <w:rFonts w:ascii="宋体" w:cs="宋体"/>
                <w:sz w:val="20"/>
                <w:highlight w:val="none"/>
              </w:rPr>
            </w:pPr>
            <w:r>
              <w:rPr>
                <w:rFonts w:hint="eastAsia" w:ascii="宋体" w:hAnsi="宋体" w:eastAsia="宋体" w:cs="宋体"/>
                <w:color w:val="000000"/>
                <w:kern w:val="0"/>
                <w:sz w:val="20"/>
                <w:szCs w:val="20"/>
                <w:highlight w:val="none"/>
              </w:rPr>
              <w:t>生态效益指标</w:t>
            </w:r>
          </w:p>
        </w:tc>
        <w:tc>
          <w:tcPr>
            <w:tcW w:w="1913" w:type="dxa"/>
            <w:tcBorders>
              <w:tl2br w:val="nil"/>
              <w:tr2bl w:val="nil"/>
            </w:tcBorders>
            <w:vAlign w:val="center"/>
          </w:tcPr>
          <w:p>
            <w:pPr>
              <w:widowControl/>
              <w:jc w:val="left"/>
              <w:textAlignment w:val="center"/>
              <w:rPr>
                <w:rFonts w:hint="eastAsia" w:ascii="宋体" w:cs="宋体" w:eastAsiaTheme="minorEastAsia"/>
                <w:sz w:val="20"/>
                <w:highlight w:val="none"/>
                <w:lang w:eastAsia="zh-CN"/>
              </w:rPr>
            </w:pPr>
            <w:r>
              <w:rPr>
                <w:rFonts w:hint="eastAsia" w:ascii="宋体" w:cs="宋体"/>
                <w:sz w:val="20"/>
                <w:highlight w:val="none"/>
                <w:lang w:eastAsia="zh-CN"/>
              </w:rPr>
              <w:t>国家生态环保要求</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符合国家生态环保要求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vMerge w:val="continue"/>
            <w:tcBorders>
              <w:tl2br w:val="nil"/>
              <w:tr2bl w:val="nil"/>
            </w:tcBorders>
            <w:vAlign w:val="center"/>
          </w:tcPr>
          <w:p>
            <w:pPr>
              <w:jc w:val="center"/>
              <w:rPr>
                <w:rFonts w:ascii="宋体" w:cs="宋体"/>
                <w:sz w:val="20"/>
                <w:highlight w:val="none"/>
              </w:rPr>
            </w:pPr>
          </w:p>
        </w:tc>
        <w:tc>
          <w:tcPr>
            <w:tcW w:w="1718" w:type="dxa"/>
            <w:gridSpan w:val="2"/>
            <w:tcBorders>
              <w:tl2br w:val="nil"/>
              <w:tr2bl w:val="nil"/>
            </w:tcBorders>
            <w:vAlign w:val="center"/>
          </w:tcPr>
          <w:p>
            <w:pPr>
              <w:widowControl/>
              <w:spacing w:line="200" w:lineRule="exact"/>
              <w:jc w:val="center"/>
              <w:rPr>
                <w:rFonts w:ascii="宋体" w:hAnsi="宋体" w:eastAsia="宋体" w:cs="宋体"/>
                <w:sz w:val="20"/>
                <w:highlight w:val="none"/>
              </w:rPr>
            </w:pPr>
            <w:r>
              <w:rPr>
                <w:rFonts w:hint="eastAsia" w:ascii="宋体" w:hAnsi="宋体" w:eastAsia="宋体" w:cs="宋体"/>
                <w:sz w:val="20"/>
                <w:highlight w:val="none"/>
              </w:rPr>
              <w:t>可持续影响指标</w:t>
            </w:r>
          </w:p>
        </w:tc>
        <w:tc>
          <w:tcPr>
            <w:tcW w:w="1913" w:type="dxa"/>
            <w:tcBorders>
              <w:tl2br w:val="nil"/>
              <w:tr2bl w:val="nil"/>
            </w:tcBorders>
            <w:vAlign w:val="center"/>
          </w:tcPr>
          <w:p>
            <w:pPr>
              <w:widowControl/>
              <w:jc w:val="left"/>
              <w:textAlignment w:val="center"/>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指导全市农贸市场项目发展</w:t>
            </w:r>
          </w:p>
        </w:tc>
        <w:tc>
          <w:tcPr>
            <w:tcW w:w="4462" w:type="dxa"/>
            <w:gridSpan w:val="2"/>
            <w:tcBorders>
              <w:tl2br w:val="nil"/>
              <w:tr2bl w:val="nil"/>
            </w:tcBorders>
            <w:vAlign w:val="center"/>
          </w:tcPr>
          <w:p>
            <w:pPr>
              <w:jc w:val="center"/>
              <w:rPr>
                <w:rFonts w:hint="eastAsia" w:ascii="宋体" w:cs="宋体" w:eastAsiaTheme="minorEastAsia"/>
                <w:sz w:val="20"/>
                <w:highlight w:val="none"/>
                <w:lang w:eastAsia="zh-CN"/>
              </w:rPr>
            </w:pPr>
            <w:r>
              <w:rPr>
                <w:rFonts w:hint="eastAsia" w:ascii="宋体" w:cs="宋体"/>
                <w:sz w:val="20"/>
                <w:highlight w:val="none"/>
                <w:lang w:eastAsia="zh-CN"/>
              </w:rPr>
              <w:t>对农贸市场项目进度及完成情况进行跟踪服务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38" w:type="dxa"/>
            <w:vMerge w:val="continue"/>
            <w:tcBorders>
              <w:tl2br w:val="nil"/>
              <w:tr2bl w:val="nil"/>
            </w:tcBorders>
            <w:vAlign w:val="center"/>
          </w:tcPr>
          <w:p>
            <w:pPr>
              <w:jc w:val="center"/>
              <w:rPr>
                <w:rFonts w:ascii="宋体" w:cs="宋体"/>
                <w:sz w:val="20"/>
                <w:highlight w:val="none"/>
              </w:rPr>
            </w:pPr>
          </w:p>
        </w:tc>
        <w:tc>
          <w:tcPr>
            <w:tcW w:w="723" w:type="dxa"/>
            <w:tcBorders>
              <w:tl2br w:val="nil"/>
              <w:tr2bl w:val="nil"/>
            </w:tcBorders>
            <w:vAlign w:val="center"/>
          </w:tcPr>
          <w:p>
            <w:pPr>
              <w:widowControl/>
              <w:spacing w:line="200" w:lineRule="exact"/>
              <w:jc w:val="center"/>
              <w:rPr>
                <w:rFonts w:ascii="宋体" w:hAnsi="宋体" w:eastAsia="宋体" w:cs="宋体"/>
                <w:sz w:val="20"/>
                <w:highlight w:val="none"/>
              </w:rPr>
            </w:pPr>
            <w:r>
              <w:rPr>
                <w:rFonts w:hint="eastAsia" w:ascii="宋体" w:hAnsi="宋体" w:eastAsia="宋体" w:cs="宋体"/>
                <w:sz w:val="20"/>
                <w:highlight w:val="none"/>
              </w:rPr>
              <w:t>满意度指标</w:t>
            </w:r>
          </w:p>
        </w:tc>
        <w:tc>
          <w:tcPr>
            <w:tcW w:w="1718" w:type="dxa"/>
            <w:gridSpan w:val="2"/>
            <w:tcBorders>
              <w:tl2br w:val="nil"/>
              <w:tr2bl w:val="nil"/>
            </w:tcBorders>
            <w:vAlign w:val="center"/>
          </w:tcPr>
          <w:p>
            <w:pPr>
              <w:widowControl/>
              <w:spacing w:line="200" w:lineRule="exact"/>
              <w:jc w:val="center"/>
              <w:rPr>
                <w:rFonts w:ascii="宋体" w:hAnsi="宋体" w:eastAsia="宋体" w:cs="宋体"/>
                <w:sz w:val="20"/>
                <w:highlight w:val="none"/>
              </w:rPr>
            </w:pPr>
            <w:r>
              <w:rPr>
                <w:rFonts w:hint="eastAsia" w:ascii="宋体" w:hAnsi="宋体" w:eastAsia="宋体" w:cs="宋体"/>
                <w:sz w:val="20"/>
                <w:highlight w:val="none"/>
              </w:rPr>
              <w:t>满意度指标</w:t>
            </w:r>
          </w:p>
        </w:tc>
        <w:tc>
          <w:tcPr>
            <w:tcW w:w="1913" w:type="dxa"/>
            <w:tcBorders>
              <w:tl2br w:val="nil"/>
              <w:tr2bl w:val="nil"/>
            </w:tcBorders>
            <w:vAlign w:val="center"/>
          </w:tcPr>
          <w:p>
            <w:pPr>
              <w:widowControl/>
              <w:jc w:val="left"/>
              <w:textAlignment w:val="center"/>
              <w:rPr>
                <w:rFonts w:hint="eastAsia" w:ascii="宋体" w:hAnsi="宋体" w:eastAsia="宋体" w:cs="宋体"/>
                <w:sz w:val="20"/>
                <w:highlight w:val="none"/>
                <w:lang w:eastAsia="zh-CN"/>
              </w:rPr>
            </w:pPr>
            <w:r>
              <w:rPr>
                <w:rFonts w:hint="eastAsia" w:ascii="宋体" w:hAnsi="宋体" w:eastAsia="宋体" w:cs="宋体"/>
                <w:sz w:val="20"/>
                <w:highlight w:val="none"/>
                <w:lang w:eastAsia="zh-CN"/>
              </w:rPr>
              <w:t>企业满意度</w:t>
            </w:r>
          </w:p>
        </w:tc>
        <w:tc>
          <w:tcPr>
            <w:tcW w:w="4462" w:type="dxa"/>
            <w:gridSpan w:val="2"/>
            <w:tcBorders>
              <w:tl2br w:val="nil"/>
              <w:tr2bl w:val="nil"/>
            </w:tcBorders>
            <w:vAlign w:val="center"/>
          </w:tcPr>
          <w:p>
            <w:pPr>
              <w:jc w:val="center"/>
              <w:rPr>
                <w:rFonts w:hint="default" w:ascii="宋体" w:cs="宋体" w:eastAsiaTheme="minorEastAsia"/>
                <w:sz w:val="20"/>
                <w:highlight w:val="none"/>
                <w:lang w:val="en-US" w:eastAsia="zh-CN"/>
              </w:rPr>
            </w:pPr>
            <w:r>
              <w:rPr>
                <w:rFonts w:hint="eastAsia" w:ascii="宋体" w:cs="宋体"/>
                <w:sz w:val="20"/>
                <w:highlight w:val="none"/>
                <w:lang w:val="en-US" w:eastAsia="zh-CN"/>
              </w:rPr>
              <w:t>95≥</w:t>
            </w:r>
          </w:p>
        </w:tc>
      </w:tr>
    </w:tbl>
    <w:p>
      <w:pPr>
        <w:ind w:firstLine="420" w:firstLineChars="200"/>
        <w:rPr>
          <w:highlight w:val="none"/>
        </w:rPr>
      </w:pPr>
    </w:p>
    <w:p>
      <w:pPr>
        <w:ind w:firstLine="420" w:firstLineChars="200"/>
        <w:rPr>
          <w:highlight w:val="none"/>
        </w:rPr>
      </w:pPr>
    </w:p>
    <w:p>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（二）机关运行经费。</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b w:val="0"/>
          <w:bCs w:val="0"/>
          <w:kern w:val="0"/>
          <w:sz w:val="32"/>
          <w:szCs w:val="32"/>
          <w:highlight w:val="none"/>
        </w:rPr>
        <w:t>2025</w:t>
      </w:r>
      <w:r>
        <w:rPr>
          <w:rFonts w:hint="eastAsia" w:ascii="TimesNewRoman" w:hAnsi="TimesNewRoman" w:eastAsia="仿宋_GB2312" w:cs="TimesNewRoman"/>
          <w:kern w:val="0"/>
          <w:sz w:val="32"/>
          <w:szCs w:val="32"/>
          <w:highlight w:val="none"/>
        </w:rPr>
        <w:t>为非参照公务员法管理的事业单位，按照部门预算机关运行经费口径，</w:t>
      </w:r>
      <w:r>
        <w:rPr>
          <w:rFonts w:hint="eastAsia" w:ascii="仿宋_GB2312" w:hAnsi="仿宋_GB2312" w:eastAsia="仿宋_GB2312" w:cs="仿宋_GB2312"/>
          <w:kern w:val="0"/>
          <w:sz w:val="32"/>
          <w:szCs w:val="32"/>
          <w:highlight w:val="none"/>
        </w:rPr>
        <w:t>2025</w:t>
      </w:r>
      <w:r>
        <w:rPr>
          <w:rFonts w:hint="eastAsia" w:ascii="TimesNewRoman" w:hAnsi="TimesNewRoman" w:eastAsia="仿宋_GB2312" w:cs="TimesNewRoman"/>
          <w:kern w:val="0"/>
          <w:sz w:val="32"/>
          <w:szCs w:val="32"/>
          <w:highlight w:val="none"/>
        </w:rPr>
        <w:t>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（三）政府采购情况。</w:t>
      </w:r>
    </w:p>
    <w:p>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淮北市</w:t>
      </w:r>
      <w:r>
        <w:rPr>
          <w:rFonts w:hint="eastAsia" w:ascii="仿宋_GB2312" w:hAnsi="仿宋_GB2312" w:eastAsia="仿宋_GB2312" w:cs="仿宋_GB2312"/>
          <w:bCs/>
          <w:sz w:val="32"/>
          <w:szCs w:val="32"/>
          <w:highlight w:val="none"/>
          <w:lang w:eastAsia="zh-CN"/>
        </w:rPr>
        <w:t>商贸发展服务中心</w:t>
      </w:r>
      <w:r>
        <w:rPr>
          <w:rFonts w:hint="eastAsia" w:ascii="仿宋_GB2312" w:hAnsi="仿宋_GB2312" w:eastAsia="仿宋_GB2312" w:cs="仿宋_GB2312"/>
          <w:kern w:val="0"/>
          <w:sz w:val="32"/>
          <w:szCs w:val="32"/>
          <w:highlight w:val="none"/>
        </w:rPr>
        <w:t>2025</w:t>
      </w:r>
      <w:r>
        <w:rPr>
          <w:rFonts w:hint="eastAsia" w:ascii="TimesNewRoman" w:hAnsi="TimesNewRoman" w:eastAsia="仿宋_GB2312" w:cs="TimesNewRoman"/>
          <w:kern w:val="0"/>
          <w:sz w:val="32"/>
          <w:szCs w:val="32"/>
          <w:highlight w:val="none"/>
        </w:rPr>
        <w:t>年政府采购预算</w:t>
      </w:r>
      <w:r>
        <w:rPr>
          <w:rFonts w:hint="eastAsia" w:ascii="仿宋_GB2312" w:hAnsi="仿宋_GB2312" w:eastAsia="仿宋_GB2312" w:cs="仿宋_GB2312"/>
          <w:kern w:val="0"/>
          <w:sz w:val="32"/>
          <w:szCs w:val="32"/>
          <w:highlight w:val="none"/>
          <w:lang w:val="en-US" w:eastAsia="zh-CN"/>
        </w:rPr>
        <w:t>0.52</w:t>
      </w:r>
      <w:r>
        <w:rPr>
          <w:rFonts w:hint="eastAsia" w:ascii="TimesNewRoman" w:hAnsi="TimesNewRoman" w:eastAsia="仿宋_GB2312" w:cs="TimesNewRoman"/>
          <w:kern w:val="0"/>
          <w:sz w:val="32"/>
          <w:szCs w:val="32"/>
          <w:highlight w:val="none"/>
        </w:rPr>
        <w:t>万元。其中：政府采购货物预算</w:t>
      </w:r>
      <w:r>
        <w:rPr>
          <w:rFonts w:hint="eastAsia" w:ascii="仿宋_GB2312" w:hAnsi="仿宋_GB2312" w:eastAsia="仿宋_GB2312" w:cs="仿宋_GB2312"/>
          <w:kern w:val="0"/>
          <w:sz w:val="32"/>
          <w:szCs w:val="32"/>
          <w:highlight w:val="none"/>
          <w:lang w:val="en-US" w:eastAsia="zh-CN"/>
        </w:rPr>
        <w:t>0.52</w:t>
      </w:r>
      <w:r>
        <w:rPr>
          <w:rFonts w:hint="eastAsia" w:ascii="TimesNewRoman" w:hAnsi="TimesNewRoman" w:eastAsia="仿宋_GB2312" w:cs="TimesNewRoman"/>
          <w:kern w:val="0"/>
          <w:sz w:val="32"/>
          <w:szCs w:val="32"/>
          <w:highlight w:val="none"/>
        </w:rPr>
        <w:t>万元，政府采购工程预算</w:t>
      </w:r>
      <w:r>
        <w:rPr>
          <w:rFonts w:hint="eastAsia" w:ascii="仿宋_GB2312" w:hAnsi="仿宋_GB2312" w:eastAsia="仿宋_GB2312" w:cs="仿宋_GB2312"/>
          <w:kern w:val="0"/>
          <w:sz w:val="32"/>
          <w:szCs w:val="32"/>
          <w:highlight w:val="none"/>
          <w:lang w:val="en-US" w:eastAsia="zh-CN"/>
        </w:rPr>
        <w:t>0</w:t>
      </w:r>
      <w:r>
        <w:rPr>
          <w:rFonts w:hint="eastAsia" w:ascii="TimesNewRoman" w:hAnsi="TimesNewRoman" w:eastAsia="仿宋_GB2312" w:cs="TimesNewRoman"/>
          <w:kern w:val="0"/>
          <w:sz w:val="32"/>
          <w:szCs w:val="32"/>
          <w:highlight w:val="none"/>
        </w:rPr>
        <w:t>万元，政府采购服务预算</w:t>
      </w:r>
      <w:r>
        <w:rPr>
          <w:rFonts w:hint="eastAsia" w:ascii="仿宋_GB2312" w:hAnsi="仿宋_GB2312" w:eastAsia="仿宋_GB2312" w:cs="仿宋_GB2312"/>
          <w:kern w:val="0"/>
          <w:sz w:val="32"/>
          <w:szCs w:val="32"/>
          <w:highlight w:val="none"/>
          <w:lang w:val="en-US" w:eastAsia="zh-CN"/>
        </w:rPr>
        <w:t>0</w:t>
      </w:r>
      <w:r>
        <w:rPr>
          <w:rFonts w:hint="eastAsia" w:ascii="TimesNewRoman" w:hAnsi="TimesNewRoman" w:eastAsia="仿宋_GB2312" w:cs="TimesNewRoman"/>
          <w:kern w:val="0"/>
          <w:sz w:val="32"/>
          <w:szCs w:val="32"/>
          <w:highlight w:val="none"/>
        </w:rPr>
        <w:t>万元。</w:t>
      </w:r>
    </w:p>
    <w:p>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（四）国有资产占有使用情况。</w:t>
      </w:r>
    </w:p>
    <w:p>
      <w:pPr>
        <w:adjustRightInd w:val="0"/>
        <w:snapToGrid w:val="0"/>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截至202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12月31日，淮北市商贸发展服务中心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pPr>
        <w:adjustRightInd w:val="0"/>
        <w:snapToGrid w:val="0"/>
        <w:spacing w:line="600" w:lineRule="exact"/>
        <w:ind w:firstLine="640" w:firstLineChars="200"/>
        <w:rPr>
          <w:rFonts w:hint="eastAsia" w:ascii="TimesNewRoman" w:hAnsi="TimesNewRoman" w:eastAsia="仿宋_GB2312" w:cs="TimesNewRoman"/>
          <w:b/>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单位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pPr>
        <w:adjustRightInd w:val="0"/>
        <w:snapToGrid w:val="0"/>
        <w:spacing w:line="580" w:lineRule="exact"/>
        <w:ind w:firstLine="643" w:firstLineChars="200"/>
        <w:rPr>
          <w:rFonts w:ascii="TimesNewRoman" w:hAnsi="TimesNewRoman" w:eastAsia="仿宋_GB2312" w:cs="TimesNewRoman"/>
          <w:b/>
          <w:sz w:val="32"/>
          <w:szCs w:val="32"/>
          <w:highlight w:val="none"/>
        </w:rPr>
      </w:pPr>
      <w:r>
        <w:rPr>
          <w:rFonts w:hint="eastAsia" w:ascii="TimesNewRoman" w:hAnsi="TimesNewRoman" w:eastAsia="仿宋_GB2312" w:cs="TimesNewRoman"/>
          <w:b/>
          <w:sz w:val="32"/>
          <w:szCs w:val="32"/>
          <w:highlight w:val="none"/>
        </w:rPr>
        <w:t>（五）绩效目标设置情况。</w:t>
      </w:r>
    </w:p>
    <w:p>
      <w:pPr>
        <w:ind w:firstLine="640" w:firstLineChars="200"/>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2025年，淮北市商贸发展服务中心1个项目实行了绩效目标管理，涉及一般公共预算当年财政拨款12万元、政府性基金预算当年财政拨款0万元、财政专户管理资金当年安排0万元。</w:t>
      </w:r>
    </w:p>
    <w:p>
      <w:pPr>
        <w:pStyle w:val="8"/>
        <w:adjustRightInd w:val="0"/>
        <w:snapToGrid w:val="0"/>
        <w:spacing w:line="560" w:lineRule="exact"/>
        <w:jc w:val="center"/>
        <w:rPr>
          <w:rFonts w:ascii="TimesNewRoman" w:hAnsi="TimesNewRoman" w:eastAsia="黑体" w:cs="TimesNewRoman"/>
          <w:bCs/>
          <w:sz w:val="36"/>
          <w:szCs w:val="36"/>
          <w:highlight w:val="none"/>
        </w:rPr>
      </w:pPr>
    </w:p>
    <w:p>
      <w:pPr>
        <w:pStyle w:val="8"/>
        <w:adjustRightInd w:val="0"/>
        <w:snapToGrid w:val="0"/>
        <w:spacing w:line="560" w:lineRule="exact"/>
        <w:jc w:val="center"/>
        <w:rPr>
          <w:rFonts w:ascii="TimesNewRoman" w:hAnsi="TimesNewRoman" w:eastAsia="黑体" w:cs="TimesNewRoman"/>
          <w:bCs/>
          <w:sz w:val="36"/>
          <w:szCs w:val="36"/>
          <w:highlight w:val="none"/>
        </w:rPr>
      </w:pPr>
      <w:r>
        <w:rPr>
          <w:rFonts w:hint="eastAsia" w:ascii="TimesNewRoman" w:hAnsi="TimesNewRoman" w:eastAsia="黑体" w:cs="TimesNewRoman"/>
          <w:bCs/>
          <w:sz w:val="36"/>
          <w:szCs w:val="36"/>
          <w:highlight w:val="none"/>
        </w:rPr>
        <w:t>第四部分 名词解释</w:t>
      </w:r>
    </w:p>
    <w:p>
      <w:pPr>
        <w:rPr>
          <w:highlight w:val="none"/>
        </w:rPr>
      </w:pP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一、财政拨款收入：</w:t>
      </w:r>
      <w:r>
        <w:rPr>
          <w:rFonts w:hint="eastAsia" w:ascii="TimesNewRoman" w:hAnsi="TimesNewRoman" w:eastAsia="仿宋_GB2312" w:cs="TimesNewRoman"/>
          <w:sz w:val="32"/>
          <w:szCs w:val="32"/>
          <w:highlight w:val="none"/>
        </w:rPr>
        <w:t>指部门或单位从同级财政部门取得的财政预算资金。</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二、事业收入：</w:t>
      </w:r>
      <w:r>
        <w:rPr>
          <w:rFonts w:hint="eastAsia" w:ascii="TimesNewRoman" w:hAnsi="TimesNewRoman" w:eastAsia="仿宋_GB2312" w:cs="TimesNewRoman"/>
          <w:sz w:val="32"/>
          <w:szCs w:val="32"/>
          <w:highlight w:val="none"/>
        </w:rPr>
        <w:t>指事业单位开展专业业务活动及辅助活动所取得的收入。</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三、财政专户管理资金：</w:t>
      </w:r>
      <w:r>
        <w:rPr>
          <w:rFonts w:hint="eastAsia" w:ascii="TimesNewRoman" w:hAnsi="TimesNewRoman" w:eastAsia="仿宋_GB2312" w:cs="TimesNewRoman"/>
          <w:sz w:val="32"/>
          <w:szCs w:val="32"/>
          <w:highlight w:val="none"/>
        </w:rPr>
        <w:t>指按照非税收入管理相关规定，纳入财政专户管理的教育收费等。</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四、事业单位经营收入：</w:t>
      </w:r>
      <w:r>
        <w:rPr>
          <w:rFonts w:hint="eastAsia" w:ascii="TimesNewRoman" w:hAnsi="TimesNewRoman" w:eastAsia="仿宋_GB2312" w:cs="TimesNewRoman"/>
          <w:sz w:val="32"/>
          <w:szCs w:val="32"/>
          <w:highlight w:val="none"/>
        </w:rPr>
        <w:t>指事业单位在专业业务活动及其辅助活动之外开展非独立核算经营活动取得的收入。</w:t>
      </w:r>
    </w:p>
    <w:p>
      <w:pPr>
        <w:pStyle w:val="8"/>
        <w:adjustRightInd w:val="0"/>
        <w:snapToGrid w:val="0"/>
        <w:spacing w:line="560" w:lineRule="exact"/>
        <w:ind w:firstLine="630" w:firstLineChars="196"/>
        <w:rPr>
          <w:rFonts w:hint="eastAsia" w:ascii="仿宋_GB2312" w:hAnsi="仿宋_GB2312" w:eastAsia="仿宋_GB2312" w:cs="仿宋_GB2312"/>
          <w:kern w:val="0"/>
          <w:sz w:val="32"/>
          <w:szCs w:val="32"/>
          <w:highlight w:val="none"/>
          <w:lang w:val="en-US" w:eastAsia="zh-CN" w:bidi="ar-SA"/>
        </w:rPr>
      </w:pPr>
      <w:r>
        <w:rPr>
          <w:rFonts w:hint="eastAsia" w:ascii="TimesNewRoman" w:hAnsi="TimesNewRoman" w:eastAsia="仿宋_GB2312" w:cs="TimesNewRoman"/>
          <w:b/>
          <w:sz w:val="32"/>
          <w:szCs w:val="32"/>
          <w:highlight w:val="none"/>
        </w:rPr>
        <w:t>五、附属单位上缴收入：</w:t>
      </w:r>
      <w:r>
        <w:rPr>
          <w:rFonts w:hint="eastAsia" w:ascii="TimesNewRoman" w:hAnsi="TimesNewRoman" w:eastAsia="仿宋_GB2312" w:cs="TimesNewRoman"/>
          <w:sz w:val="32"/>
          <w:szCs w:val="32"/>
          <w:highlight w:val="none"/>
        </w:rPr>
        <w:t>本单位所属下级单位上缴给本单位的全</w:t>
      </w:r>
      <w:r>
        <w:rPr>
          <w:rFonts w:hint="eastAsia" w:ascii="仿宋_GB2312" w:hAnsi="仿宋_GB2312" w:eastAsia="仿宋_GB2312" w:cs="仿宋_GB2312"/>
          <w:kern w:val="0"/>
          <w:sz w:val="32"/>
          <w:szCs w:val="32"/>
          <w:highlight w:val="none"/>
          <w:lang w:val="en-US" w:eastAsia="zh-CN" w:bidi="ar-SA"/>
        </w:rPr>
        <w:t>部收入。</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六、上年结转：</w:t>
      </w:r>
      <w:r>
        <w:rPr>
          <w:rFonts w:hint="eastAsia" w:ascii="TimesNewRoman" w:hAnsi="TimesNewRoman" w:eastAsia="仿宋_GB2312" w:cs="TimesNewRoman"/>
          <w:sz w:val="32"/>
          <w:szCs w:val="32"/>
          <w:highlight w:val="none"/>
        </w:rPr>
        <w:t>指以前年度安排、结转到本年仍按原用途继续使用的资金。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七、结转下年：</w:t>
      </w:r>
      <w:r>
        <w:rPr>
          <w:rFonts w:hint="eastAsia" w:ascii="TimesNewRoman" w:hAnsi="TimesNewRoman" w:eastAsia="仿宋_GB2312" w:cs="TimesNewRoman"/>
          <w:sz w:val="32"/>
          <w:szCs w:val="32"/>
          <w:highlight w:val="none"/>
        </w:rPr>
        <w:t>指以前年度预算安排、因客观条件发生变化无法按原计划实施，需以后年度按原用途继续使用的资金。</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八、基本支出：</w:t>
      </w:r>
      <w:r>
        <w:rPr>
          <w:rFonts w:hint="eastAsia" w:ascii="TimesNewRoman" w:hAnsi="TimesNewRoman" w:eastAsia="仿宋_GB2312" w:cs="TimesNewRoman"/>
          <w:sz w:val="32"/>
          <w:szCs w:val="32"/>
          <w:highlight w:val="none"/>
        </w:rPr>
        <w:t>指为保障机构正常运转、完成日常工作任务而发生的人员支出和公用支出。</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九、项目支出：</w:t>
      </w:r>
      <w:r>
        <w:rPr>
          <w:rFonts w:hint="eastAsia" w:ascii="TimesNewRoman" w:hAnsi="TimesNewRoman" w:eastAsia="仿宋_GB2312" w:cs="TimesNewRoman"/>
          <w:sz w:val="32"/>
          <w:szCs w:val="32"/>
          <w:highlight w:val="none"/>
        </w:rPr>
        <w:t>指在除基本支出之外的支出，主要用于完成特定的工作任务和事业发展目标。</w:t>
      </w:r>
    </w:p>
    <w:p>
      <w:pPr>
        <w:pStyle w:val="8"/>
        <w:adjustRightInd w:val="0"/>
        <w:snapToGrid w:val="0"/>
        <w:spacing w:line="560" w:lineRule="exact"/>
        <w:ind w:firstLine="630" w:firstLineChars="196"/>
        <w:rPr>
          <w:rFonts w:ascii="TimesNewRoman" w:hAnsi="TimesNewRoman" w:eastAsia="仿宋_GB2312" w:cs="TimesNewRoman"/>
          <w:sz w:val="32"/>
          <w:szCs w:val="32"/>
          <w:highlight w:val="none"/>
        </w:rPr>
      </w:pPr>
      <w:r>
        <w:rPr>
          <w:rFonts w:hint="eastAsia" w:ascii="TimesNewRoman" w:hAnsi="TimesNewRoman" w:eastAsia="仿宋_GB2312" w:cs="TimesNewRoman"/>
          <w:b/>
          <w:sz w:val="32"/>
          <w:szCs w:val="32"/>
          <w:highlight w:val="none"/>
        </w:rPr>
        <w:t xml:space="preserve">十、机关运行经费: </w:t>
      </w:r>
      <w:r>
        <w:rPr>
          <w:rFonts w:hint="eastAsia" w:ascii="TimesNewRoman" w:hAnsi="TimesNewRoman" w:eastAsia="仿宋_GB2312" w:cs="TimesNewRoman"/>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highlight w:val="none"/>
        </w:rPr>
      </w:pPr>
    </w:p>
    <w:p>
      <w:pPr>
        <w:rPr>
          <w:highlight w:val="none"/>
        </w:rPr>
      </w:pPr>
    </w:p>
    <w:p>
      <w:pPr>
        <w:rPr>
          <w:highlight w:val="none"/>
        </w:rPr>
      </w:pPr>
    </w:p>
    <w:p>
      <w:pPr>
        <w:rPr>
          <w:highlight w:val="none"/>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274346"/>
    <w:multiLevelType w:val="singleLevel"/>
    <w:tmpl w:val="D1274346"/>
    <w:lvl w:ilvl="0" w:tentative="0">
      <w:start w:val="1"/>
      <w:numFmt w:val="chineseCounting"/>
      <w:suff w:val="nothing"/>
      <w:lvlText w:val="（%1）"/>
      <w:lvlJc w:val="left"/>
      <w:rPr>
        <w:rFonts w:hint="eastAsia"/>
      </w:rPr>
    </w:lvl>
  </w:abstractNum>
  <w:abstractNum w:abstractNumId="1">
    <w:nsid w:val="E362309D"/>
    <w:multiLevelType w:val="singleLevel"/>
    <w:tmpl w:val="E36230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C33B9A"/>
    <w:rsid w:val="00DB2A5C"/>
    <w:rsid w:val="00E907C4"/>
    <w:rsid w:val="00EC7755"/>
    <w:rsid w:val="00F45ECB"/>
    <w:rsid w:val="00F974AD"/>
    <w:rsid w:val="07EB5850"/>
    <w:rsid w:val="08F6100A"/>
    <w:rsid w:val="0AD53A5C"/>
    <w:rsid w:val="0E583FF5"/>
    <w:rsid w:val="11232FFE"/>
    <w:rsid w:val="13427E54"/>
    <w:rsid w:val="14F926F4"/>
    <w:rsid w:val="1BB967B5"/>
    <w:rsid w:val="1F0E6AFE"/>
    <w:rsid w:val="21BA320B"/>
    <w:rsid w:val="221845BB"/>
    <w:rsid w:val="23712004"/>
    <w:rsid w:val="2E9D4EAA"/>
    <w:rsid w:val="35143563"/>
    <w:rsid w:val="3B1F0857"/>
    <w:rsid w:val="3D0F43D8"/>
    <w:rsid w:val="3EC86B10"/>
    <w:rsid w:val="42AA44FA"/>
    <w:rsid w:val="440C7075"/>
    <w:rsid w:val="48CD69F2"/>
    <w:rsid w:val="51C27696"/>
    <w:rsid w:val="560860BA"/>
    <w:rsid w:val="571B3B0C"/>
    <w:rsid w:val="576A0C54"/>
    <w:rsid w:val="5A196152"/>
    <w:rsid w:val="5F6761D7"/>
    <w:rsid w:val="61107AFD"/>
    <w:rsid w:val="62A01E1D"/>
    <w:rsid w:val="62D85E4B"/>
    <w:rsid w:val="631A1780"/>
    <w:rsid w:val="640D3EC3"/>
    <w:rsid w:val="64435A0F"/>
    <w:rsid w:val="65BF660F"/>
    <w:rsid w:val="670626BC"/>
    <w:rsid w:val="670A0556"/>
    <w:rsid w:val="6F860D05"/>
    <w:rsid w:val="702C2AF3"/>
    <w:rsid w:val="71666CB3"/>
    <w:rsid w:val="7F192494"/>
    <w:rsid w:val="7F72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2"/>
    <w:basedOn w:val="1"/>
    <w:next w:val="1"/>
    <w:qFormat/>
    <w:uiPriority w:val="39"/>
    <w:pPr>
      <w:ind w:left="210"/>
      <w:jc w:val="left"/>
    </w:pPr>
    <w:rPr>
      <w:smallCaps/>
      <w:sz w:val="28"/>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firstLine="420"/>
    </w:pPr>
    <w:rPr>
      <w:rFonts w:ascii="Calibri" w:hAnsi="Calibri"/>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5490</Words>
  <Characters>6201</Characters>
  <Lines>46</Lines>
  <Paragraphs>13</Paragraphs>
  <TotalTime>6</TotalTime>
  <ScaleCrop>false</ScaleCrop>
  <LinksUpToDate>false</LinksUpToDate>
  <CharactersWithSpaces>6316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徐肖</cp:lastModifiedBy>
  <cp:lastPrinted>2025-02-10T06:59:00Z</cp:lastPrinted>
  <dcterms:modified xsi:type="dcterms:W3CDTF">2025-02-11T02:59:45Z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eyJoZGlkIjoiMzhhNWU0MTIwNzU3ZDE4ZGE4NzkzZDg1Y2Y2YjBkODEifQ==</vt:lpwstr>
  </property>
  <property fmtid="{D5CDD505-2E9C-101B-9397-08002B2CF9AE}" pid="3" name="KSOProductBuildVer">
    <vt:lpwstr>2052-11.8.2.8808</vt:lpwstr>
  </property>
  <property fmtid="{D5CDD505-2E9C-101B-9397-08002B2CF9AE}" pid="4" name="ICV">
    <vt:lpwstr>4FF12A3947B449AF98488FB57DA3839C_12</vt:lpwstr>
  </property>
</Properties>
</file>