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淮北市商务局本级</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2025年政府采购支出表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淮北市商务局本级</w:t>
      </w:r>
      <w:r>
        <w:rPr>
          <w:rFonts w:ascii="TimesNewRoman" w:hAnsi="TimesNewRoman" w:eastAsia="仿宋_GB2312" w:cs="TimesNewRoman"/>
          <w:bCs/>
          <w:sz w:val="32"/>
          <w:szCs w:val="32"/>
        </w:rPr>
        <w:t>2025年通用资产配置支出表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7"/>
        <w:adjustRightInd w:val="0"/>
        <w:snapToGrid w:val="0"/>
        <w:spacing w:line="400" w:lineRule="exact"/>
        <w:ind w:firstLine="800" w:firstLineChars="25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12、关于2025年通用资产配置支出表的说明</w:t>
      </w:r>
    </w:p>
    <w:p>
      <w:pPr>
        <w:pStyle w:val="7"/>
        <w:adjustRightInd w:val="0"/>
        <w:snapToGrid w:val="0"/>
        <w:spacing w:line="400" w:lineRule="exact"/>
        <w:ind w:firstLine="800" w:firstLineChars="25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lang w:val="en-US" w:eastAsia="zh-CN"/>
        </w:rPr>
        <w:t>13、</w:t>
      </w:r>
      <w:r>
        <w:rPr>
          <w:rFonts w:hint="eastAsia" w:ascii="TimesNewRoman" w:hAnsi="TimesNewRoman" w:eastAsia="仿宋_GB2312" w:cs="TimesNewRoman"/>
          <w:bCs/>
          <w:sz w:val="32"/>
          <w:szCs w:val="32"/>
          <w:highlight w:val="none"/>
        </w:rPr>
        <w:t>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2025年部门预算纳入绩效考评项目表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2025年部门预算专项资金管理清单（专栏公开）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一</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贯彻执行国家有关国内外贸易、外商投资、对外援助、对外投资和对外经济合作工作方针政策和法律法规，拟订全市国内外贸易、国际经济合作发展规划；研究经济全球化、区域经济合作、现代流通方式的发展趋势并提出相关政策建议。</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二</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负责推进流通产业结构调整，指导流通企业改革、商贸服务业和社区商业发展，提出促进商贸中小企业发展的政策建议；推动流通标准化和连锁经营、商业特许经营、物流配送、电子商务等现代流通方式的发展。</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三</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提出引导国内外资金投向市场体系建设的政策措施；指导大宗产品批发市场规划、各类商贸市场和城市商业网点规划、商业体系建设工作；推进农村市场体系建设，组织实施农村现代流通网络工程。</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四</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承担牵头协调整顿和规范市场经济秩序工作的责任。推动商务领域信用建设，指导商业信用销售，建立市场诚信公共服务平台，主管市12312商务举报投诉服务工作，承担全市商务流通领域市场监管公共服务体系建设工作；按有关规定对特殊流通行业进行监督管理。</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五</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六</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分析国际经贸形势和我市进出口状况，拟订促进外贸增长方式转变的政策措施；组织实施重要工业品、原材料和重要农产品进出口总量计划，会同有关单位协调大宗进出口商品；指导机电产品进出口工作；组织管理进出口商品配额、关税配额；指导和协调加工贸易工作。</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七</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指导贸易促进活动和外贸促进体系建设；负责境外非企业经济组织常驻我市代表机构的有关管理工作；组织实施区域经贸合作，处理多边经贸领域的有关问题。</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八</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推进进出口贸易标准化建设工作；依法监督技术引进、设备进口、国家限制出口技术的工作，依法办理涉及国家安全的进出口许可事务。</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九</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牵头拟订服务贸易发展规划并开展相关工作，会同有关单位制定促进服务出口和服务外包发展的规划、政策并组织实施，推动服务外包平台建设。</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组织协调反倾销、反补贴、保障措施及其他与进出口公平贸易相关工作；建立进出口公平贸易预警机制，依法实施对外贸易调查和产业损害调查，指导协调产业安全应对及国外对我市出口商品的反倾销、反补贴、保障措施的应诉及相关工作；依法对经营者集中行为进行反垄断调查，指导企业在国外的反垄断应诉工作，开展多双边竞争政策交流与合作。</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十一</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宏观指导外商投资工作；分析研究外商投资情况，拟订外商投资政策措施并组织实施；指导和管理外商投资促进及外商投资企业的报批备案和进出口工作；依法核准权限范围内的外商投资项目的合同、章程及法律特别规定的重大变更事项；审理转报限额以上、限制投资和涉及配额、许可证管理的外商投资企业设立及其变更事项；监督外商投资企业执行有关法律、法规及合同、章程工作；综合协调和指导全市经济技术开发区的有关工作。</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十二</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对外经济合作工作；依法管理和监督对外承包工程、对外劳务合作等；拟定本市人员出境就业管理的有关政策，负责牵头外派劳务和境外就业人员的权益保护工作；依法审核、申报市内企业在境外投资开办企业（金融企业除外）并实施监督管理。</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十三</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负责办理外商来访、商贸洽谈有关外事初审、申报工作；指导商贸领域内信息网络、电子商务、电子政务建设；指导有关协会工作。</w:t>
      </w:r>
    </w:p>
    <w:p>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十四</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负责研究拟定全市会展业发展规划、产业政策并组织实施；协调指导我市对外参加各种展会等。</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sz w:val="32"/>
          <w:szCs w:val="32"/>
        </w:rPr>
        <w:t>2025年度部门预算仅包括局本级预算，无其他下属单位预算。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（一）以更大力度扩内需、挖潜力。</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是加大限上商贸主体培育。按照“限上企业抓增长、达限企业抓入库、近限企业抓培育”的工作思路，对县区重点批零住餐企业开展全面摸排，重点关注新能源汽车、加油站、电商直播企业等，切实做好月度新增新开业企业、年度企业纳统工作。二是开展促消费活动。督促指导县区重点抓好汽车、家电等群众参与度高、带动效果好、杠杆作用大的消费券发放活动。组织开展“双十一”电商节、乡村振兴市集等活动，集聚消费人气，激发消费潜力。三是贯彻落实国家以旧换新政策。加大消费品以旧换新补贴政策的宣传力度，加快平台审核进度，确保消费者能享尽享。四是培育壮大消费新场景。深化与知名电商平台合作，助推淮北特色产业和电商产业进一步融合发展；打造品质夜市和夜间消费集聚区，促进“夜宵”“夜购”“夜赏”融合发展。拓展沉浸式、体验式、互动式消费新场景，以创新激发消费内生动力。</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（二）以更大力度稳外贸、强动能。</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是强化企业孵化培育。积极培育外贸发展新动能，重点做好国晟新能源、希科服饰等10家新增企业孵化培育工作，力争全年新增培育进出口实绩企业15家以上。二是挖掘优势企业潜力。支持瑞柏新材料等优势发展企业做大做强，扩大优势产品（化工产品）出口规模，力争新增培育进出口过亿美元企业1家以上。三是提升国际市场竞争实力。加大英科医疗等重点企业政策支持，鼓励企业开展境外商标注册、专利申请、产品认证，强化品牌建设，提升企业市场竞争实力。四是加快新业态新模式发展。依托相山区跨境电商产业园，搭建交流对接平台，加大跨境电商企业招引，孵化培育跨境电商人才，力争2025年完成省级跨境电商产业园申报认定。</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（三）以更大力度引外资、扩规模。</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是优化营商环境。发挥外资企业服务专班和外商投诉处理联系机制作用，常态化开展外资企业上门服务。二是拓宽外资外经新渠道。用好海客圆桌会、“徽动全球”合作伙伴计划等平台，深化与外商投资企业、外国商会协会、国际组织的常态化交流，做到“请进来”、“走出去”相结合。三是强化考核调度。针对 县区、园区载体单位年度招引外资目标任务，加强日常调度，传导工作压力，形成工作合力。</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（四）以更大力度谋改革，促发展。</w:t>
      </w:r>
    </w:p>
    <w:p>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是完善服务业扶持政策体系。聚焦重点商贸服务业高质量发展，加快推进先进制造业与现代服务业融合发展，积极发展汽车后市场，推动发展农村直播电商。布局重点商圈、特色街区和夜间经济，积极打造消费新场景。深化主城区菜市场管理体制改革。二是实施联动创新区提升行动。发挥联动创新区“试验田”作用，探索与沪苏浙自贸试验区及联动创新区合作新机制，健全区域联动、政策联动、创新联动、产业联动机制。三是健全外贸外资发展政策体系。健全完善跨境电商扶持政策，高质量建设跨境电商产业园，推进发运中亚、中欧班列。</w:t>
      </w: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sz w:val="32"/>
          <w:szCs w:val="32"/>
        </w:rPr>
        <w:t>万元，支出包括：一般公共服务支出、社会保障和就业支出、卫生健康支出、住房保障支出。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172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基本支出拨款减少25.27万元、项目支出拨款增加146.73万元</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原因主要为本单位无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原因主要为本单位无</w:t>
      </w:r>
      <w:r>
        <w:rPr>
          <w:rFonts w:hint="eastAsia" w:ascii="TimesNewRoman" w:hAnsi="TimesNewRoman" w:eastAsia="仿宋_GB2312" w:cs="TimesNewRoman"/>
          <w:kern w:val="0"/>
          <w:sz w:val="32"/>
          <w:szCs w:val="32"/>
        </w:rPr>
        <w:t>财政专户管理资金收入。</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基本支出拨款减少25.27万元、项目支出拨款增加146.73万元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743.13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70.03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29.97</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lang w:eastAsia="zh-CN"/>
        </w:rPr>
        <w:t>完成</w:t>
      </w:r>
      <w:r>
        <w:rPr>
          <w:rFonts w:hint="eastAsia" w:ascii="仿宋_GB2312" w:hAnsi="仿宋" w:eastAsia="仿宋_GB2312"/>
          <w:sz w:val="32"/>
          <w:szCs w:val="32"/>
        </w:rPr>
        <w:t>特定行政任务和商务发展目标所发生的支出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718.55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67.72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218.27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20.57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93.39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sz w:val="32"/>
          <w:szCs w:val="32"/>
          <w:lang w:val="en-US" w:eastAsia="zh-CN"/>
        </w:rPr>
        <w:t>1061.13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基本支出拨款减少25.27万元、项目支出拨款减少146.73万元</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718.55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67.72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218.27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20.57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93.39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1、一般公共服务支出（类）商贸事务（款）行政运行（项）2025年预算</w:t>
      </w:r>
      <w:r>
        <w:rPr>
          <w:rFonts w:hint="eastAsia" w:ascii="TimesNewRoman" w:hAnsi="TimesNewRoman" w:eastAsia="仿宋_GB2312" w:cs="TimesNewRoman"/>
          <w:kern w:val="0"/>
          <w:sz w:val="32"/>
          <w:szCs w:val="32"/>
          <w:lang w:val="en-US" w:eastAsia="zh-CN"/>
        </w:rPr>
        <w:t>400.55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3.29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2、一般公共服务支出（类）商贸事务（款）一般行政管理事务（项）2025年预算</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255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项目支出科目更改</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、社会保障和就业支出（类）行政事业单位养老支出（款）行政单位离退休（项）2025年预算</w:t>
      </w:r>
      <w:r>
        <w:rPr>
          <w:rFonts w:hint="eastAsia" w:ascii="TimesNewRoman" w:hAnsi="TimesNewRoman" w:eastAsia="仿宋_GB2312" w:cs="TimesNewRoman"/>
          <w:kern w:val="0"/>
          <w:sz w:val="32"/>
          <w:szCs w:val="32"/>
          <w:lang w:val="en-US" w:eastAsia="zh-CN"/>
        </w:rPr>
        <w:t>147.07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31.16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17.48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退休人员提租补贴支出功能科目变更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47.18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增长0.02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23.59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与2024年预算相比无变化。</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0.43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增长2.38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、卫生健康支出（类）行政事业单位医疗（款）行政单位医疗（项）202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15.32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减少2.5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下降14.03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15.61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增加0.22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缴费基数增加。</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48.21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减少0.96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、住房保障支出（类）住房改革支出（款）提租补贴（项）202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25.09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增加12.8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增长104.15</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退休人员提租补贴支出功能科目变更。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20.09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减少0.4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743.13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681.49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61.64</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681.49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w:t>
      </w:r>
      <w:r>
        <w:rPr>
          <w:rFonts w:hint="eastAsia" w:ascii="TimesNewRoman" w:hAnsi="TimesNewRoman" w:eastAsia="仿宋_GB2312" w:cs="TimesNewRoman"/>
          <w:kern w:val="0"/>
          <w:sz w:val="32"/>
          <w:szCs w:val="32"/>
          <w:lang w:val="en-US" w:eastAsia="zh-CN"/>
        </w:rPr>
        <w:t>办公费、其他商品和服务支出、</w:t>
      </w:r>
      <w:r>
        <w:rPr>
          <w:rFonts w:hint="eastAsia" w:ascii="TimesNewRoman" w:hAnsi="TimesNewRoman" w:eastAsia="仿宋_GB2312" w:cs="TimesNewRoman"/>
          <w:kern w:val="0"/>
          <w:sz w:val="32"/>
          <w:szCs w:val="32"/>
        </w:rPr>
        <w:t>退休费、生活补助、医疗费补助、</w:t>
      </w:r>
      <w:r>
        <w:rPr>
          <w:rFonts w:hint="eastAsia" w:ascii="TimesNewRoman" w:hAnsi="TimesNewRoman" w:eastAsia="仿宋_GB2312" w:cs="TimesNewRoman"/>
          <w:kern w:val="0"/>
          <w:sz w:val="32"/>
          <w:szCs w:val="32"/>
          <w:lang w:val="en-US" w:eastAsia="zh-CN"/>
        </w:rPr>
        <w:t>奖励</w:t>
      </w:r>
      <w:r>
        <w:rPr>
          <w:rFonts w:hint="eastAsia" w:ascii="TimesNewRoman" w:hAnsi="TimesNewRoman" w:eastAsia="仿宋_GB2312" w:cs="TimesNewRoman"/>
          <w:kern w:val="0"/>
          <w:sz w:val="32"/>
          <w:szCs w:val="32"/>
        </w:rPr>
        <w:t>金、对其他个人和家庭的补助支出。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61.64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主要包括：劳务费、其他交通费用、其他商品服务支出。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146.73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31.57</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项目资金减少，减少文明菜市行动专项经费、放心家政行动专项经费、文明创建项目经费、</w:t>
      </w:r>
      <w:r>
        <w:rPr>
          <w:rFonts w:hint="eastAsia" w:ascii="仿宋_GB2312" w:eastAsia="仿宋_GB2312" w:cs="Times New Roman"/>
          <w:sz w:val="32"/>
          <w:szCs w:val="32"/>
          <w:lang w:val="en-US" w:eastAsia="zh-CN"/>
        </w:rPr>
        <w:t>淮北市重要产品追溯管理平台建设项目第四阶段资金项目经费</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2025年没有安排政府购买服务支出。</w:t>
      </w:r>
    </w:p>
    <w:p>
      <w:pPr>
        <w:pStyle w:val="7"/>
        <w:adjustRightInd w:val="0"/>
        <w:snapToGrid w:val="0"/>
        <w:spacing w:line="560" w:lineRule="exact"/>
        <w:ind w:firstLine="640" w:firstLineChars="200"/>
        <w:rPr>
          <w:rFonts w:ascii="TimesNewRoman" w:hAnsi="TimesNewRoman" w:eastAsia="楷体_GB2312" w:cs="TimesNewRoman"/>
          <w:color w:val="FF0000"/>
          <w:sz w:val="32"/>
          <w:szCs w:val="32"/>
          <w:highlight w:val="none"/>
        </w:rPr>
      </w:pPr>
      <w:bookmarkStart w:id="0" w:name="_GoBack"/>
      <w:r>
        <w:rPr>
          <w:rFonts w:ascii="TimesNewRoman" w:hAnsi="TimesNewRoman" w:eastAsia="黑体" w:cs="TimesNewRoman"/>
          <w:sz w:val="32"/>
          <w:szCs w:val="32"/>
          <w:highlight w:val="none"/>
        </w:rPr>
        <w:t>十</w:t>
      </w:r>
      <w:r>
        <w:rPr>
          <w:rFonts w:hint="eastAsia" w:ascii="TimesNewRoman" w:hAnsi="TimesNewRoman" w:eastAsia="黑体" w:cs="TimesNewRoman"/>
          <w:sz w:val="32"/>
          <w:szCs w:val="32"/>
          <w:highlight w:val="none"/>
        </w:rPr>
        <w:t>二</w:t>
      </w:r>
      <w:r>
        <w:rPr>
          <w:rFonts w:ascii="TimesNewRoman" w:hAnsi="TimesNewRoman" w:eastAsia="黑体" w:cs="TimesNewRoman"/>
          <w:sz w:val="32"/>
          <w:szCs w:val="32"/>
          <w:highlight w:val="none"/>
        </w:rPr>
        <w:t>、关于</w:t>
      </w:r>
      <w:r>
        <w:rPr>
          <w:rFonts w:hint="eastAsia" w:ascii="TimesNewRoman" w:hAnsi="TimesNewRoman" w:eastAsia="黑体" w:cs="TimesNewRoman"/>
          <w:sz w:val="32"/>
          <w:szCs w:val="32"/>
          <w:highlight w:val="none"/>
        </w:rPr>
        <w:t>2025</w:t>
      </w:r>
      <w:r>
        <w:rPr>
          <w:rFonts w:ascii="TimesNewRoman" w:hAnsi="TimesNewRoman" w:eastAsia="黑体" w:cs="TimesNewRoman"/>
          <w:sz w:val="32"/>
          <w:szCs w:val="32"/>
          <w:highlight w:val="none"/>
        </w:rPr>
        <w:t>年通用资产配置支出表的说明</w:t>
      </w:r>
    </w:p>
    <w:p>
      <w:pPr>
        <w:pStyle w:val="7"/>
        <w:adjustRightInd w:val="0"/>
        <w:snapToGrid w:val="0"/>
        <w:spacing w:line="560" w:lineRule="exact"/>
        <w:ind w:firstLine="640" w:firstLineChars="200"/>
        <w:outlineLvl w:val="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eastAsia="zh-CN"/>
        </w:rPr>
        <w:t>淮北市商务局本级</w:t>
      </w:r>
      <w:r>
        <w:rPr>
          <w:rFonts w:hint="eastAsia" w:ascii="TimesNewRoman" w:hAnsi="TimesNewRoman" w:eastAsia="仿宋_GB2312" w:cs="TimesNewRoman"/>
          <w:sz w:val="32"/>
          <w:szCs w:val="32"/>
          <w:highlight w:val="none"/>
        </w:rPr>
        <w:t>2025</w:t>
      </w:r>
      <w:r>
        <w:rPr>
          <w:rFonts w:ascii="TimesNewRoman" w:hAnsi="TimesNewRoman" w:eastAsia="仿宋_GB2312" w:cs="TimesNewRoman"/>
          <w:sz w:val="32"/>
          <w:szCs w:val="32"/>
          <w:highlight w:val="none"/>
        </w:rPr>
        <w:t>年没有安排通用资产配置支出。</w:t>
      </w:r>
    </w:p>
    <w:p>
      <w:pPr>
        <w:pStyle w:val="7"/>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十</w:t>
      </w:r>
      <w:r>
        <w:rPr>
          <w:rFonts w:hint="eastAsia" w:ascii="TimesNewRoman" w:hAnsi="TimesNewRoman" w:eastAsia="黑体" w:cs="TimesNewRoman"/>
          <w:bCs/>
          <w:sz w:val="32"/>
          <w:szCs w:val="32"/>
          <w:highlight w:val="none"/>
          <w:lang w:val="en-US" w:eastAsia="zh-CN"/>
        </w:rPr>
        <w:t>三</w:t>
      </w:r>
      <w:r>
        <w:rPr>
          <w:rFonts w:hint="eastAsia" w:ascii="TimesNewRoman" w:hAnsi="TimesNewRoman" w:eastAsia="黑体" w:cs="TimesNewRoman"/>
          <w:bCs/>
          <w:sz w:val="32"/>
          <w:szCs w:val="32"/>
          <w:highlight w:val="none"/>
        </w:rPr>
        <w:t>、其他重要事项情况说明</w:t>
      </w:r>
    </w:p>
    <w:bookmarkEnd w:id="0"/>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Times New Roman" w:eastAsia="仿宋_GB2312" w:cs="Times New Roman"/>
          <w:sz w:val="32"/>
          <w:szCs w:val="32"/>
        </w:rPr>
        <w:t>商务经济运行工作调度经费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lang w:val="en-US" w:eastAsia="zh-CN"/>
        </w:rPr>
        <w:t>建立健全生活必需品市场供应应急管理机制，及时准确对市场运行情况、商品价格信息、商品供求状况进行监测分析，促进内贸流通新升级，培育壮大市场主体。</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按照安徽省商务厅《关于进一步加强内贸流通监测推进工作的通知》</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（5）项目内容。建立健全生活必需品市场供应应急管理机制，及时准确对市场运行情况、商品价格信息、商品供求状况进行监测分析。为做好以上商务经济工作，202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年度我局共需经费</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年安排预算资金</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商务经济运行工作调度经费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keepNext w:val="0"/>
              <w:keepLines w:val="0"/>
              <w:widowControl/>
              <w:suppressLineNumbers w:val="0"/>
              <w:jc w:val="center"/>
              <w:textAlignment w:val="center"/>
            </w:pPr>
            <w:r>
              <w:rPr>
                <w:rStyle w:val="13"/>
                <w:rFonts w:eastAsia="宋体"/>
                <w:lang w:val="en-US" w:eastAsia="zh-CN" w:bidi="ar"/>
              </w:rPr>
              <w:t xml:space="preserve"> 1</w:t>
            </w:r>
            <w:r>
              <w:rPr>
                <w:rStyle w:val="14"/>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sz w:val="20"/>
              </w:rPr>
            </w:pPr>
            <w:r>
              <w:rPr>
                <w:rFonts w:hint="eastAsia" w:ascii="宋体" w:cs="宋体"/>
                <w:sz w:val="20"/>
              </w:rPr>
              <w:t>建立健全生活必需品市场供应应急管理机制，及时准确对市场运行情况、商品价格信息、商品供求状况进行监测分析，促进内贸流通新升级，培育壮大市场主体。</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指标1：支持展会次数</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指标1：资金支出的合规性</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指标1：资金支出的及时性</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资金支付及时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指标1：费用支出总额</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指标1：对促进消费，实现社会消费品零售增长影响程度</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影响程度明显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指标1：市场消费稳定增长程度</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社会消费品零售额同比增长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指标1：商务经济运行持续发展情况</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促进内贸流通新升级，推动对外贸易新增长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r>
    </w:tbl>
    <w:p>
      <w:pPr>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猪肉等重要物资储备资金</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猪肉是居民重要的生活必需品之一，也是重要的战略储备物资。市场猪肉的供给变化极易导致其它生活必需品市场的异常波动。目前，政府部门由于缺少必要的调控手段，对平抑市场波动有些乏力，实行生猪储备制度，扩大储备规模，是维护社会政治经济稳定的必要手段。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年我市生猪活体储备计划数量5000头，补贴标准40元/头，项目金额20万元。202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年我市冻猪肉储备计划数量300吨，补贴标准1000元/吨，项目金额30万元。促进生猪生产发展，稳定市场供应。</w:t>
      </w:r>
    </w:p>
    <w:p>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安徽省省级储备肉管理办法、淮北市生猪活体储备管理办法</w:t>
      </w:r>
      <w:r>
        <w:rPr>
          <w:rFonts w:hint="eastAsia" w:ascii="仿宋_GB2312" w:hAnsi="Times New Roman" w:eastAsia="仿宋_GB2312" w:cs="Times New Roman"/>
          <w:sz w:val="32"/>
          <w:szCs w:val="32"/>
          <w:lang w:val="en-US"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年我市生猪活体储备计划数量5000头，补贴标准40元/头，项目金额20万元。202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年我市冻猪肉储备计划数量300吨，补贴标准1000元/吨，项目金额30万元。促进生猪生产发展，稳定市场供应。202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年我市猪肉等重要物资储备资金50万元。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年安排预算资金</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（7）绩效目标。促进生猪生产发展，稳定市场供应，每年完成猪肉储备计划数量计划数量。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lang w:val="en-US" w:eastAsia="zh-CN"/>
              </w:rPr>
              <w:t>肉类等重要物资储备资金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keepNext w:val="0"/>
              <w:keepLines w:val="0"/>
              <w:widowControl/>
              <w:suppressLineNumbers w:val="0"/>
              <w:jc w:val="center"/>
              <w:textAlignment w:val="center"/>
            </w:pPr>
            <w:r>
              <w:rPr>
                <w:rStyle w:val="13"/>
                <w:rFonts w:eastAsia="宋体"/>
                <w:lang w:val="en-US" w:eastAsia="zh-CN" w:bidi="ar"/>
              </w:rPr>
              <w:t xml:space="preserve"> 1</w:t>
            </w:r>
            <w:r>
              <w:rPr>
                <w:rStyle w:val="14"/>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rPr>
              <w:t>促进生猪生产发展，稳定市场供应，每年完成猪肉储备计划数量计划数量。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指标1：生猪活体储备计划数量</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≥5000头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指标1：补助标准</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指标1：市场供应</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稳定市场供应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2：企业生产发展影响</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促进生猪生产发展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平抑价格波动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2：猪肉市场价格</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平抑价格波动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指标1：生猪市场的持续健康发展</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有效平抑猪肉市场价格波动，保证老百姓吃得上放心猪肉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文明菜市行动专项经费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年安排预算资金</w:t>
      </w:r>
      <w:r>
        <w:rPr>
          <w:rFonts w:hint="eastAsia" w:ascii="TimesNewRoman" w:hAnsi="TimesNewRoman" w:eastAsia="仿宋_GB2312" w:cs="TimesNewRoman"/>
          <w:kern w:val="0"/>
          <w:sz w:val="32"/>
          <w:szCs w:val="32"/>
          <w:lang w:val="en-US" w:eastAsia="zh-CN"/>
        </w:rPr>
        <w:t>128</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（7）绩效目标。全市菜市巩固整治和改造提升资金</w:t>
      </w:r>
      <w:r>
        <w:rPr>
          <w:rFonts w:hint="eastAsia" w:ascii="TimesNewRoman" w:hAnsi="TimesNewRoman" w:eastAsia="仿宋_GB2312" w:cs="TimesNewRoman"/>
          <w:kern w:val="0"/>
          <w:sz w:val="32"/>
          <w:szCs w:val="32"/>
          <w:lang w:val="en-US" w:eastAsia="zh-CN"/>
        </w:rPr>
        <w:t>128</w:t>
      </w:r>
      <w:r>
        <w:rPr>
          <w:rFonts w:hint="eastAsia" w:ascii="TimesNewRoman" w:hAnsi="TimesNewRoman" w:eastAsia="仿宋_GB2312" w:cs="TimesNewRoman"/>
          <w:kern w:val="0"/>
          <w:sz w:val="32"/>
          <w:szCs w:val="32"/>
        </w:rPr>
        <w:t>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文明菜市行动专项经费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[288]淮北市商务局</w:t>
            </w:r>
          </w:p>
        </w:tc>
        <w:tc>
          <w:tcPr>
            <w:tcW w:w="1848"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淮北市商务局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keepNext w:val="0"/>
              <w:keepLines w:val="0"/>
              <w:widowControl/>
              <w:suppressLineNumbers w:val="0"/>
              <w:jc w:val="center"/>
              <w:textAlignment w:val="center"/>
            </w:pPr>
            <w:r>
              <w:rPr>
                <w:rStyle w:val="13"/>
                <w:rFonts w:eastAsia="宋体"/>
                <w:lang w:val="en-US" w:eastAsia="zh-CN" w:bidi="ar"/>
              </w:rPr>
              <w:t xml:space="preserve"> 1</w:t>
            </w:r>
            <w:r>
              <w:rPr>
                <w:rStyle w:val="14"/>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rPr>
              <w:t>全市菜市巩固整治和改造提升资金</w:t>
            </w:r>
            <w:r>
              <w:rPr>
                <w:rFonts w:hint="eastAsia" w:ascii="宋体" w:hAnsi="宋体" w:eastAsia="宋体" w:cs="宋体"/>
                <w:color w:val="000000"/>
                <w:kern w:val="0"/>
                <w:sz w:val="20"/>
                <w:szCs w:val="20"/>
                <w:lang w:val="en-US" w:eastAsia="zh-CN"/>
              </w:rPr>
              <w:t>128</w:t>
            </w:r>
            <w:r>
              <w:rPr>
                <w:rFonts w:hint="eastAsia" w:ascii="宋体" w:hAnsi="宋体" w:eastAsia="宋体" w:cs="宋体"/>
                <w:color w:val="000000"/>
                <w:kern w:val="0"/>
                <w:sz w:val="20"/>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指标1：文明菜市整治和改造提升</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指标1：完成达标任务、巩固整治和改造提升效果</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指标1：整治和改造提升资金</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指标1：菜市场经济有序发展情况</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市场租金稳定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指标1：提高菜市文明程度</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到2025年，全市所有菜市达到“干净卫生、清洁明亮、管理有序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提高了市民思想道德修养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放心家政行动专项经费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共淮北市委办公室、淮北市人民政府办公室关于印发《就业促进行动方案》等“暖民心行动方案”的通知》（淮办发〔2022〕10号）精神，2025年全市培训家政服务人员2万人次；新增家政人员3300人，员工制家政服务企业县（区）覆盖率超过100%；继续推行“一人一码（牌）”和星级认定工作；遴选5家市级优秀家政服务企业、30名市级优秀家政服务人员。经审查，我市需2025年放心家政行动专项经费80万元。</w:t>
      </w:r>
    </w:p>
    <w:p>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中共淮北市委办公室、淮北市人民政府办公室关于印发《就业促进行动方案》等“暖民心行动方案”的通知》（淮办发〔2022〕10号）精神，2025年全市培训家政服务人员2万人次；新增家政人员3300人，员工制家政服务企业县（区）覆盖率超过100%；继续推行“一人一码（牌）”和星级认定工作；遴选5家市级优秀家政服务企业、30名市级优秀家政服务人员。经审查，我市需2025年放心家政行动专项经费80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年安排预算资金</w:t>
      </w:r>
      <w:r>
        <w:rPr>
          <w:rFonts w:hint="eastAsia" w:ascii="TimesNewRoman" w:hAnsi="TimesNewRoman" w:eastAsia="仿宋_GB2312" w:cs="TimesNewRoman"/>
          <w:kern w:val="0"/>
          <w:sz w:val="32"/>
          <w:szCs w:val="32"/>
          <w:lang w:val="en-US" w:eastAsia="zh-CN"/>
        </w:rPr>
        <w:t>80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（7）绩效目标。根据《中共淮北市委办公室、淮北市人民政府办公室关于印发《就业促进行动方案》等“暖民心行动方案”的通知》（淮办发〔2022〕10号）精神202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全市培训家政服务人员7000人次；新增家政人员2000人，员工制家政服务企业县（区）覆盖率超过100％；继续推行“一人一码（牌）”和星级认定工作；遴选5家市级优秀家政服务企业、30名市级优秀家政服务人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lang w:val="en-US" w:eastAsia="zh-CN"/>
              </w:rPr>
              <w:t>放心家政行动专项经费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keepNext w:val="0"/>
              <w:keepLines w:val="0"/>
              <w:widowControl/>
              <w:suppressLineNumbers w:val="0"/>
              <w:jc w:val="center"/>
              <w:textAlignment w:val="center"/>
            </w:pPr>
            <w:r>
              <w:rPr>
                <w:rStyle w:val="13"/>
                <w:rFonts w:eastAsia="宋体"/>
                <w:lang w:val="en-US" w:eastAsia="zh-CN" w:bidi="ar"/>
              </w:rPr>
              <w:t xml:space="preserve"> 1</w:t>
            </w:r>
            <w:r>
              <w:rPr>
                <w:rStyle w:val="14"/>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rPr>
              <w:t>根据《中共淮北市委办公室、淮北市人民政府办公室关于印发《就业促进行动方案》等“暖民心行动方案”的通知》（淮办发〔2022〕10号）精神202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全市培训家政服务人员7000人次；新增家政人员2000人，员工制家政服务企业县（区）覆盖率超过100％；继续推行“一人一码（牌）”和星级认定工作；遴选5家市级优秀家政服务企业、30名市级优秀家政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指标1：评选优秀家政企业</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指标1：线上家政服务平台运行良好，线下家政服务“五进”工作积极推进，评选优秀家政企业和家政服务人员</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线上家政服务区平台稳步推进，线下家政“五进”工作取得明显成效，持续推进一人一码工作制度，培育家政服务品牌，选树先进典型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指标1：资金拨付及时性</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指标1：开展各项放心家政活动费用</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指标1：推进全市服务业发展情况</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扶持家政企业做大做强，实现全市现代服务业高质量发展.支持数字家政产业园扩大规模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指标1：解决老百姓急难愁盼、牵肠挂肚的民生大事、天天有感的关键小事</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推进家政服务行业标准化、制度化、规范化、品质化发展，满足人民日益增长的对家政服务的需要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指标1：规范全市家政服务市场，推进全市家政行业发展</w:t>
            </w:r>
          </w:p>
        </w:tc>
        <w:tc>
          <w:tcPr>
            <w:tcW w:w="4228"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通过培训，进一步提高家政服务人员政治素养和服务技能，推进市政服务市场规范化发展，提升全市家政服务行业高质量健康发展。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61.64</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11A2051F"/>
    <w:rsid w:val="3C902DC1"/>
    <w:rsid w:val="4EB46828"/>
    <w:rsid w:val="680422D1"/>
    <w:rsid w:val="6CFB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next w:val="1"/>
    <w:qFormat/>
    <w:uiPriority w:val="0"/>
    <w:pPr>
      <w:ind w:firstLine="420"/>
    </w:pPr>
    <w:rPr>
      <w:rFonts w:ascii="Calibri" w:hAnsi="Calibri"/>
    </w:rPr>
  </w:style>
  <w:style w:type="character" w:customStyle="1" w:styleId="11">
    <w:name w:val="页眉 Char"/>
    <w:basedOn w:val="10"/>
    <w:link w:val="6"/>
    <w:semiHidden/>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font21"/>
    <w:basedOn w:val="10"/>
    <w:qFormat/>
    <w:uiPriority w:val="0"/>
    <w:rPr>
      <w:rFonts w:hint="default" w:ascii="Calibri" w:hAnsi="Calibri" w:cs="Calibri"/>
      <w:color w:val="000000"/>
      <w:sz w:val="21"/>
      <w:szCs w:val="21"/>
      <w:u w:val="none"/>
    </w:rPr>
  </w:style>
  <w:style w:type="character" w:customStyle="1" w:styleId="14">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10241</Words>
  <Characters>11126</Characters>
  <Lines>46</Lines>
  <Paragraphs>13</Paragraphs>
  <TotalTime>0</TotalTime>
  <ScaleCrop>false</ScaleCrop>
  <LinksUpToDate>false</LinksUpToDate>
  <CharactersWithSpaces>11420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徐肖</cp:lastModifiedBy>
  <dcterms:modified xsi:type="dcterms:W3CDTF">2025-02-11T02:47:49Z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CDB54C17CC5740BAA126511A97634620_12</vt:lpwstr>
  </property>
</Properties>
</file>