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DEF90">
      <w:pPr>
        <w:jc w:val="center"/>
        <w:rPr>
          <w:rFonts w:hint="eastAsia" w:ascii="宋体" w:hAnsi="宋体"/>
          <w:b/>
          <w:sz w:val="36"/>
          <w:szCs w:val="36"/>
        </w:rPr>
      </w:pPr>
      <w:r>
        <w:rPr>
          <w:rFonts w:hint="eastAsia" w:ascii="宋体" w:hAnsi="宋体"/>
          <w:b/>
          <w:sz w:val="36"/>
          <w:szCs w:val="36"/>
          <w:lang w:eastAsia="zh-CN"/>
        </w:rPr>
        <w:t>淮北市</w:t>
      </w:r>
      <w:r>
        <w:rPr>
          <w:rFonts w:hint="eastAsia" w:ascii="宋体" w:hAnsi="宋体"/>
          <w:b/>
          <w:sz w:val="36"/>
          <w:szCs w:val="36"/>
          <w:lang w:val="en-US" w:eastAsia="zh-CN"/>
        </w:rPr>
        <w:t>商务局</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12D7B3B7">
      <w:pPr>
        <w:jc w:val="center"/>
        <w:rPr>
          <w:rFonts w:hint="eastAsia" w:ascii="楷体_GB2312" w:eastAsia="楷体_GB2312"/>
          <w:szCs w:val="32"/>
        </w:rPr>
      </w:pPr>
    </w:p>
    <w:p w14:paraId="5D06C9A9">
      <w:pPr>
        <w:adjustRightInd w:val="0"/>
        <w:snapToGrid w:val="0"/>
        <w:spacing w:line="360" w:lineRule="auto"/>
        <w:jc w:val="center"/>
        <w:rPr>
          <w:rFonts w:hint="eastAsia" w:ascii="宋体" w:hAnsi="宋体"/>
          <w:sz w:val="6"/>
          <w:szCs w:val="32"/>
        </w:rPr>
      </w:pPr>
    </w:p>
    <w:p w14:paraId="682C8B39">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309E830C">
      <w:pPr>
        <w:ind w:firstLine="6400" w:firstLineChars="2000"/>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443E8833">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804F080">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FCF0A04">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399FF1A">
            <w:pPr>
              <w:widowControl/>
              <w:jc w:val="center"/>
              <w:rPr>
                <w:rFonts w:ascii="宋体" w:hAnsi="宋体" w:cs="宋体"/>
                <w:b/>
                <w:bCs/>
                <w:kern w:val="0"/>
                <w:szCs w:val="21"/>
              </w:rPr>
            </w:pPr>
            <w:r>
              <w:rPr>
                <w:rFonts w:hint="eastAsia" w:ascii="宋体" w:hAnsi="宋体" w:cs="宋体"/>
                <w:b/>
                <w:bCs/>
                <w:kern w:val="0"/>
                <w:szCs w:val="21"/>
              </w:rPr>
              <w:t>决 算 数</w:t>
            </w:r>
          </w:p>
        </w:tc>
      </w:tr>
      <w:tr w14:paraId="362584C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FE66B77">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7F02A884">
            <w:pPr>
              <w:widowControl/>
              <w:jc w:val="center"/>
              <w:rPr>
                <w:rFonts w:ascii="宋体" w:hAnsi="宋体" w:cs="宋体"/>
                <w:b/>
                <w:bCs/>
                <w:kern w:val="0"/>
                <w:szCs w:val="21"/>
              </w:rPr>
            </w:pPr>
            <w:r>
              <w:rPr>
                <w:rFonts w:hint="eastAsia" w:ascii="宋体" w:hAnsi="宋体" w:cs="宋体"/>
                <w:b/>
                <w:bCs/>
                <w:kern w:val="0"/>
                <w:szCs w:val="21"/>
                <w:lang w:val="en-US" w:eastAsia="zh-CN"/>
              </w:rPr>
              <w:t>3.33</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190B6C31">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3.33</w:t>
            </w:r>
          </w:p>
        </w:tc>
      </w:tr>
      <w:tr w14:paraId="6AF0A2D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70AAC1E">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411A93FA">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3CD0597C">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14:paraId="725DA68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EDEE1BF">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1DE88D5D">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3.33</w:t>
            </w:r>
          </w:p>
        </w:tc>
        <w:tc>
          <w:tcPr>
            <w:tcW w:w="2220" w:type="dxa"/>
            <w:tcBorders>
              <w:top w:val="nil"/>
              <w:left w:val="nil"/>
              <w:bottom w:val="single" w:color="auto" w:sz="4" w:space="0"/>
              <w:right w:val="single" w:color="auto" w:sz="4" w:space="0"/>
            </w:tcBorders>
            <w:noWrap w:val="0"/>
            <w:vAlign w:val="bottom"/>
          </w:tcPr>
          <w:p w14:paraId="41E2C438">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3.33</w:t>
            </w:r>
          </w:p>
        </w:tc>
      </w:tr>
      <w:tr w14:paraId="56B1197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132AA70">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C55E8F0">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74C047A4">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14:paraId="764BD57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B657476">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64DFEB25">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7BCBA512">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14:paraId="1F5038D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1CCD3C2">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3222F7D9">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7E37D4E6">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bl>
    <w:p w14:paraId="09A86B3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497444A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73FD938C">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0B2E48DF">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7C783282">
      <w:pPr>
        <w:ind w:firstLine="640" w:firstLineChars="200"/>
        <w:rPr>
          <w:rFonts w:hint="eastAsia" w:ascii="仿宋_GB2312" w:hAnsi="仿宋"/>
          <w:szCs w:val="32"/>
        </w:rPr>
      </w:pPr>
      <w:r>
        <w:rPr>
          <w:rFonts w:hint="eastAsia" w:ascii="仿宋_GB2312" w:hAnsi="仿宋"/>
          <w:szCs w:val="32"/>
          <w:lang w:val="en-US" w:eastAsia="zh-CN"/>
        </w:rPr>
        <w:t>淮北市商务局</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3.33</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3.33</w:t>
      </w:r>
      <w:r>
        <w:rPr>
          <w:rFonts w:hint="eastAsia" w:ascii="仿宋_GB2312" w:hAnsi="仿宋"/>
          <w:szCs w:val="32"/>
        </w:rPr>
        <w:t>万元，完成预算的</w:t>
      </w:r>
      <w:r>
        <w:rPr>
          <w:rFonts w:hint="eastAsia" w:ascii="仿宋_GB2312" w:hAnsi="仿宋"/>
          <w:szCs w:val="32"/>
          <w:lang w:val="en-US" w:eastAsia="zh-CN"/>
        </w:rPr>
        <w:t>100.00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0.34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9.26%。</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val="en-US" w:eastAsia="zh-CN"/>
        </w:rPr>
        <w:t>厉行节约，严控三公经费</w:t>
      </w:r>
      <w:r>
        <w:rPr>
          <w:rFonts w:hint="eastAsia" w:ascii="仿宋_GB2312" w:hAnsi="仿宋"/>
          <w:szCs w:val="32"/>
        </w:rPr>
        <w:t>。为全面反映“三公”经费支出，本次公布的“三公”经费决算为部门汇总数，包含单位本级和</w:t>
      </w:r>
      <w:r>
        <w:rPr>
          <w:rFonts w:hint="eastAsia" w:ascii="仿宋_GB2312" w:hAnsi="仿宋"/>
          <w:szCs w:val="32"/>
          <w:lang w:eastAsia="zh-CN"/>
        </w:rPr>
        <w:t>所</w:t>
      </w:r>
      <w:r>
        <w:rPr>
          <w:rFonts w:hint="eastAsia" w:ascii="仿宋_GB2312" w:hAnsi="仿宋"/>
          <w:szCs w:val="32"/>
        </w:rPr>
        <w:t>属单位。</w:t>
      </w:r>
    </w:p>
    <w:p w14:paraId="7D96AEC8">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323DB37E">
      <w:pPr>
        <w:ind w:firstLine="640" w:firstLineChars="200"/>
        <w:rPr>
          <w:rFonts w:hint="eastAsia" w:ascii="仿宋_GB2312" w:hAnsi="仿宋"/>
          <w:szCs w:val="32"/>
        </w:rPr>
      </w:pPr>
      <w:r>
        <w:rPr>
          <w:rFonts w:hint="eastAsia" w:ascii="仿宋_GB2312" w:hAnsi="仿宋"/>
          <w:szCs w:val="32"/>
          <w:lang w:val="en-US" w:eastAsia="zh-CN"/>
        </w:rPr>
        <w:t>淮北市商务局</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%;公务接待费支出决算</w:t>
      </w:r>
      <w:r>
        <w:rPr>
          <w:rFonts w:hint="eastAsia" w:ascii="仿宋_GB2312" w:hAnsi="仿宋"/>
          <w:szCs w:val="32"/>
          <w:lang w:val="en-US" w:eastAsia="zh-CN"/>
        </w:rPr>
        <w:t>3.33</w:t>
      </w:r>
      <w:r>
        <w:rPr>
          <w:rFonts w:hint="eastAsia" w:ascii="仿宋_GB2312" w:hAnsi="仿宋"/>
          <w:szCs w:val="32"/>
        </w:rPr>
        <w:t>万元，占</w:t>
      </w:r>
      <w:r>
        <w:rPr>
          <w:rFonts w:hint="eastAsia" w:ascii="仿宋_GB2312" w:hAnsi="仿宋"/>
          <w:szCs w:val="32"/>
          <w:lang w:val="en-US" w:eastAsia="zh-CN"/>
        </w:rPr>
        <w:t>100.00</w:t>
      </w:r>
      <w:r>
        <w:rPr>
          <w:rFonts w:hint="eastAsia" w:ascii="仿宋_GB2312" w:hAnsi="仿宋"/>
          <w:szCs w:val="32"/>
        </w:rPr>
        <w:t>%；公务用车购置及运行维护费支出决算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%。具体情况如下：</w:t>
      </w:r>
    </w:p>
    <w:p w14:paraId="7CEC6BDF">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淮北市商务局</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外办批准的因公临时出国（境）计划，按照规定标准安排。经费使用严格按照</w:t>
      </w:r>
      <w:r>
        <w:rPr>
          <w:rFonts w:hint="eastAsia" w:ascii="仿宋_GB2312" w:hAnsi="仿宋"/>
          <w:szCs w:val="32"/>
          <w:highlight w:val="none"/>
        </w:rPr>
        <w:t>《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14:paraId="637934E9">
      <w:pPr>
        <w:ind w:firstLine="643" w:firstLineChars="200"/>
        <w:rPr>
          <w:rFonts w:hint="eastAsia" w:ascii="仿宋_GB2312" w:hAnsi="仿宋"/>
          <w:szCs w:val="32"/>
          <w:highlight w:val="none"/>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3.33</w:t>
      </w:r>
      <w:r>
        <w:rPr>
          <w:rFonts w:hint="eastAsia" w:ascii="仿宋_GB2312" w:hAnsi="仿宋"/>
          <w:szCs w:val="32"/>
          <w:lang w:eastAsia="zh-CN"/>
        </w:rPr>
        <w:t>万元，支出决算为</w:t>
      </w:r>
      <w:r>
        <w:rPr>
          <w:rFonts w:hint="eastAsia" w:ascii="仿宋_GB2312" w:hAnsi="仿宋"/>
          <w:szCs w:val="32"/>
          <w:lang w:val="en-US" w:eastAsia="zh-CN"/>
        </w:rPr>
        <w:t>3.33万元</w:t>
      </w:r>
      <w:r>
        <w:rPr>
          <w:rFonts w:hint="eastAsia" w:ascii="仿宋_GB2312" w:hAnsi="仿宋"/>
          <w:szCs w:val="32"/>
          <w:lang w:eastAsia="zh-CN"/>
        </w:rPr>
        <w:t>，完成预算的</w:t>
      </w:r>
      <w:r>
        <w:rPr>
          <w:rFonts w:hint="eastAsia" w:ascii="仿宋_GB2312" w:hAnsi="仿宋"/>
          <w:szCs w:val="32"/>
          <w:lang w:val="en-US" w:eastAsia="zh-CN"/>
        </w:rPr>
        <w:t>100.00</w:t>
      </w:r>
      <w:r>
        <w:rPr>
          <w:rFonts w:hint="eastAsia" w:ascii="仿宋_GB2312" w:hAnsi="仿宋"/>
          <w:szCs w:val="32"/>
          <w:lang w:eastAsia="zh-CN"/>
        </w:rPr>
        <w:t>%；较上年减少</w:t>
      </w:r>
      <w:r>
        <w:rPr>
          <w:rFonts w:hint="eastAsia" w:ascii="仿宋_GB2312" w:hAnsi="仿宋"/>
          <w:szCs w:val="32"/>
          <w:lang w:val="en-US" w:eastAsia="zh-CN"/>
        </w:rPr>
        <w:t>0.34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9.26%。</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val="en-US" w:eastAsia="zh-CN"/>
        </w:rPr>
        <w:t>厉行节约，严控三公经费</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淮北市商务局</w:t>
      </w:r>
      <w:r>
        <w:rPr>
          <w:rFonts w:hint="eastAsia" w:ascii="仿宋_GB2312" w:hAnsi="仿宋"/>
          <w:szCs w:val="32"/>
        </w:rPr>
        <w:t>国内公务接待共</w:t>
      </w:r>
      <w:r>
        <w:rPr>
          <w:rFonts w:hint="eastAsia" w:ascii="仿宋_GB2312" w:hAnsi="仿宋"/>
          <w:szCs w:val="32"/>
          <w:lang w:val="en-US" w:eastAsia="zh-CN"/>
        </w:rPr>
        <w:t>29</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214</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w:t>
      </w:r>
      <w:r>
        <w:rPr>
          <w:rFonts w:hint="eastAsia" w:ascii="仿宋_GB2312" w:hAnsi="仿宋"/>
          <w:color w:val="auto"/>
          <w:szCs w:val="32"/>
          <w:highlight w:val="none"/>
        </w:rPr>
        <w:t>主要是用于</w:t>
      </w:r>
      <w:r>
        <w:rPr>
          <w:rFonts w:hint="eastAsia" w:ascii="仿宋_GB2312" w:hAnsi="仿宋"/>
          <w:color w:val="auto"/>
          <w:szCs w:val="32"/>
          <w:highlight w:val="none"/>
          <w:lang w:eastAsia="zh-CN"/>
        </w:rPr>
        <w:t>招商引资</w:t>
      </w:r>
      <w:r>
        <w:rPr>
          <w:rFonts w:hint="eastAsia" w:ascii="仿宋_GB2312" w:hAnsi="仿宋"/>
          <w:szCs w:val="32"/>
        </w:rPr>
        <w:t>。经费使用贯彻</w:t>
      </w:r>
      <w:r>
        <w:rPr>
          <w:rFonts w:hint="eastAsia" w:ascii="仿宋_GB2312" w:hAnsi="仿宋"/>
          <w:szCs w:val="32"/>
          <w:lang w:val="en-US" w:eastAsia="zh-CN"/>
        </w:rPr>
        <w:t>落实</w:t>
      </w:r>
      <w:bookmarkStart w:id="0" w:name="_GoBack"/>
      <w:bookmarkEnd w:id="0"/>
      <w:r>
        <w:rPr>
          <w:rFonts w:hint="eastAsia" w:ascii="仿宋_GB2312" w:hAnsi="仿宋"/>
          <w:szCs w:val="32"/>
        </w:rPr>
        <w:t>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201EE77D">
      <w:pPr>
        <w:ind w:firstLine="643" w:firstLineChars="200"/>
        <w:rPr>
          <w:rFonts w:hint="eastAsia"/>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100.00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rPr>
        <w:t>其中，</w:t>
      </w:r>
      <w:r>
        <w:rPr>
          <w:rFonts w:hint="eastAsia" w:ascii="仿宋_GB2312" w:hAnsi="仿宋" w:cs="Times New Roman"/>
          <w:szCs w:val="32"/>
          <w:lang w:val="en-US" w:eastAsia="zh-CN"/>
        </w:rPr>
        <w:t>2023年没有安排公务用车购置费。公务用车运行维护费预</w:t>
      </w:r>
      <w:r>
        <w:rPr>
          <w:rFonts w:hint="eastAsia" w:ascii="仿宋_GB2312" w:hAnsi="仿宋"/>
          <w:szCs w:val="32"/>
          <w:lang w:eastAsia="zh-CN"/>
        </w:rPr>
        <w:t>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0.00%。</w:t>
      </w:r>
      <w:r>
        <w:rPr>
          <w:rFonts w:hint="eastAsia" w:ascii="仿宋_GB2312" w:hAnsi="仿宋" w:cs="Times New Roman"/>
          <w:szCs w:val="32"/>
          <w:lang w:val="en-US" w:eastAsia="zh-CN"/>
        </w:rPr>
        <w:t>决算数与预算数相同</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val="en-US" w:eastAsia="zh-CN"/>
        </w:rPr>
        <w:t>淮北市商务局</w:t>
      </w:r>
      <w:r>
        <w:rPr>
          <w:rFonts w:hint="eastAsia" w:ascii="仿宋_GB2312" w:hAnsi="仿宋"/>
          <w:szCs w:val="32"/>
        </w:rPr>
        <w:t>机关</w:t>
      </w:r>
      <w:r>
        <w:rPr>
          <w:rFonts w:hint="eastAsia" w:ascii="仿宋_GB2312" w:hAnsi="仿宋"/>
          <w:szCs w:val="32"/>
          <w:lang w:val="en-US" w:eastAsia="zh-CN"/>
        </w:rPr>
        <w:t>及所属单位开支</w:t>
      </w:r>
      <w:r>
        <w:rPr>
          <w:rFonts w:hint="eastAsia" w:ascii="仿宋_GB2312" w:hAnsi="仿宋"/>
          <w:szCs w:val="32"/>
        </w:rPr>
        <w:t>财政拨款的公务用车保有量为</w:t>
      </w:r>
      <w:r>
        <w:rPr>
          <w:rFonts w:hint="eastAsia" w:ascii="仿宋_GB2312" w:hAnsi="仿宋"/>
          <w:szCs w:val="32"/>
          <w:lang w:val="en-US" w:eastAsia="zh-CN"/>
        </w:rPr>
        <w:t>0</w:t>
      </w:r>
      <w:r>
        <w:rPr>
          <w:rFonts w:hint="eastAsia" w:ascii="仿宋_GB2312" w:hAnsi="仿宋"/>
          <w:szCs w:val="32"/>
        </w:rPr>
        <w:t>辆。</w:t>
      </w:r>
    </w:p>
    <w:p w14:paraId="2281B0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TdlZjk4ZmVmZTQ4NDNiNTFhYWY1YjQ2Yzk5ZTAifQ=="/>
  </w:docVars>
  <w:rsids>
    <w:rsidRoot w:val="02EE185B"/>
    <w:rsid w:val="02EE185B"/>
    <w:rsid w:val="08BE0891"/>
    <w:rsid w:val="45825D53"/>
    <w:rsid w:val="55D51425"/>
    <w:rsid w:val="735C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1448</Characters>
  <Lines>0</Lines>
  <Paragraphs>0</Paragraphs>
  <TotalTime>3</TotalTime>
  <ScaleCrop>false</ScaleCrop>
  <LinksUpToDate>false</LinksUpToDate>
  <CharactersWithSpaces>1528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2024-09-22T03:44:00Z</dcterms:created>
  <dc:creator>rong</dc:creator>
  <cp:lastModifiedBy>侯宇轩</cp:lastModifiedBy>
  <dcterms:modified xsi:type="dcterms:W3CDTF">2025-08-19T01:15:14Z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048FE3BEEFE243158AADD93644D0065A_11</vt:lpwstr>
  </property>
  <property fmtid="{D5CDD505-2E9C-101B-9397-08002B2CF9AE}" pid="4" name="KSOTemplateDocerSaveRecord">
    <vt:lpwstr>eyJoZGlkIjoiN2JkMjM1NTkwN2MxMGY5Y2FlYjVmN2IxZmFhZTgwYTQiLCJ1c2VySWQiOiIxOTc2MDc3OTkifQ==</vt:lpwstr>
  </property>
</Properties>
</file>