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18B9C">
      <w:pPr>
        <w:keepNext w:val="0"/>
        <w:keepLines w:val="0"/>
        <w:pageBreakBefore w:val="0"/>
        <w:widowControl w:val="0"/>
        <w:kinsoku/>
        <w:wordWrap/>
        <w:overflowPunct/>
        <w:topLinePunct w:val="0"/>
        <w:autoSpaceDE/>
        <w:autoSpaceDN/>
        <w:bidi w:val="0"/>
        <w:adjustRightInd w:val="0"/>
        <w:snapToGrid/>
        <w:spacing w:line="580" w:lineRule="exact"/>
        <w:jc w:val="both"/>
        <w:textAlignment w:val="auto"/>
        <w:rPr>
          <w:rFonts w:hint="default" w:ascii="Times New Roman" w:hAnsi="Times New Roman" w:cs="Times New Roman"/>
        </w:rPr>
      </w:pPr>
    </w:p>
    <w:p w14:paraId="225EF972">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淮北市商务局</w:t>
      </w:r>
      <w:r>
        <w:rPr>
          <w:rFonts w:hint="default" w:ascii="Times New Roman" w:hAnsi="Times New Roman" w:eastAsia="方正小标宋简体" w:cs="Times New Roman"/>
          <w:sz w:val="44"/>
          <w:szCs w:val="44"/>
        </w:rPr>
        <w:t>行政权力中介服务</w:t>
      </w:r>
      <w:r>
        <w:rPr>
          <w:rFonts w:hint="default" w:ascii="Times New Roman" w:hAnsi="Times New Roman" w:eastAsia="方正小标宋简体" w:cs="Times New Roman"/>
          <w:sz w:val="44"/>
          <w:szCs w:val="44"/>
          <w:lang w:val="en-US" w:eastAsia="zh-CN"/>
        </w:rPr>
        <w:t>清单</w:t>
      </w:r>
      <w:r>
        <w:rPr>
          <w:rFonts w:hint="default" w:ascii="Times New Roman" w:hAnsi="Times New Roman" w:eastAsia="方正小标宋简体" w:cs="Times New Roman"/>
          <w:sz w:val="44"/>
          <w:szCs w:val="44"/>
        </w:rPr>
        <w:t>（2025年版）</w:t>
      </w:r>
    </w:p>
    <w:p w14:paraId="388B4554">
      <w:pPr>
        <w:keepNext w:val="0"/>
        <w:keepLines w:val="0"/>
        <w:pageBreakBefore w:val="0"/>
        <w:widowControl/>
        <w:kinsoku/>
        <w:wordWrap/>
        <w:overflowPunct/>
        <w:topLinePunct w:val="0"/>
        <w:autoSpaceDE/>
        <w:autoSpaceDN/>
        <w:bidi w:val="0"/>
        <w:adjustRightInd/>
        <w:snapToGrid/>
        <w:spacing w:line="700" w:lineRule="exact"/>
        <w:ind w:firstLine="5120" w:firstLineChars="1600"/>
        <w:jc w:val="both"/>
        <w:textAlignment w:val="auto"/>
        <w:rPr>
          <w:rFonts w:hint="default" w:ascii="Times New Roman" w:hAnsi="Times New Roman" w:cs="Times New Roman"/>
        </w:rPr>
      </w:pPr>
      <w:r>
        <w:rPr>
          <w:rFonts w:hint="default" w:ascii="Times New Roman" w:hAnsi="Times New Roman" w:eastAsia="方正小标宋简体" w:cs="Times New Roman"/>
          <w:sz w:val="32"/>
          <w:szCs w:val="32"/>
        </w:rPr>
        <w:t>保留事项</w:t>
      </w:r>
    </w:p>
    <w:tbl>
      <w:tblPr>
        <w:tblStyle w:val="7"/>
        <w:tblW w:w="13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432"/>
        <w:gridCol w:w="2446"/>
        <w:gridCol w:w="887"/>
        <w:gridCol w:w="984"/>
        <w:gridCol w:w="3616"/>
        <w:gridCol w:w="784"/>
        <w:gridCol w:w="1100"/>
        <w:gridCol w:w="700"/>
        <w:gridCol w:w="600"/>
      </w:tblGrid>
      <w:tr w14:paraId="6AB7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blHeader/>
        </w:trPr>
        <w:tc>
          <w:tcPr>
            <w:tcW w:w="566" w:type="dxa"/>
            <w:vMerge w:val="restart"/>
            <w:noWrap w:val="0"/>
            <w:vAlign w:val="center"/>
          </w:tcPr>
          <w:p w14:paraId="34ACF8E8">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序号</w:t>
            </w:r>
          </w:p>
        </w:tc>
        <w:tc>
          <w:tcPr>
            <w:tcW w:w="1432" w:type="dxa"/>
            <w:vMerge w:val="restart"/>
            <w:noWrap w:val="0"/>
            <w:vAlign w:val="center"/>
          </w:tcPr>
          <w:p w14:paraId="7D9D2101">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事项名称</w:t>
            </w:r>
          </w:p>
        </w:tc>
        <w:tc>
          <w:tcPr>
            <w:tcW w:w="2446" w:type="dxa"/>
            <w:vMerge w:val="restart"/>
            <w:noWrap w:val="0"/>
            <w:vAlign w:val="center"/>
          </w:tcPr>
          <w:p w14:paraId="7EE36943">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设定依据</w:t>
            </w:r>
          </w:p>
        </w:tc>
        <w:tc>
          <w:tcPr>
            <w:tcW w:w="887" w:type="dxa"/>
            <w:vMerge w:val="restart"/>
            <w:noWrap w:val="0"/>
            <w:vAlign w:val="center"/>
          </w:tcPr>
          <w:p w14:paraId="63E72B53">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对应权力事项名称</w:t>
            </w:r>
          </w:p>
        </w:tc>
        <w:tc>
          <w:tcPr>
            <w:tcW w:w="4600" w:type="dxa"/>
            <w:gridSpan w:val="2"/>
            <w:noWrap w:val="0"/>
            <w:vAlign w:val="center"/>
          </w:tcPr>
          <w:p w14:paraId="2F333C52">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中介服务实施机构</w:t>
            </w:r>
          </w:p>
        </w:tc>
        <w:tc>
          <w:tcPr>
            <w:tcW w:w="784" w:type="dxa"/>
            <w:vMerge w:val="restart"/>
            <w:shd w:val="clear" w:color="auto" w:fill="auto"/>
            <w:noWrap w:val="0"/>
            <w:vAlign w:val="center"/>
          </w:tcPr>
          <w:p w14:paraId="1E59502D">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办理</w:t>
            </w:r>
          </w:p>
          <w:p w14:paraId="258C02D6">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kern w:val="2"/>
                <w:sz w:val="24"/>
                <w:szCs w:val="24"/>
                <w:vertAlign w:val="baseline"/>
                <w:lang w:val="en-US" w:eastAsia="zh-CN" w:bidi="ar-SA"/>
              </w:rPr>
            </w:pPr>
            <w:r>
              <w:rPr>
                <w:rFonts w:hint="default" w:ascii="Times New Roman" w:hAnsi="Times New Roman" w:eastAsia="黑体" w:cs="Times New Roman"/>
                <w:b w:val="0"/>
                <w:bCs/>
                <w:sz w:val="24"/>
                <w:szCs w:val="24"/>
                <w:vertAlign w:val="baseline"/>
                <w:lang w:val="en-US" w:eastAsia="zh-CN"/>
              </w:rPr>
              <w:t>时限</w:t>
            </w:r>
          </w:p>
        </w:tc>
        <w:tc>
          <w:tcPr>
            <w:tcW w:w="1100" w:type="dxa"/>
            <w:vMerge w:val="restart"/>
            <w:shd w:val="clear" w:color="auto" w:fill="auto"/>
            <w:noWrap w:val="0"/>
            <w:vAlign w:val="center"/>
          </w:tcPr>
          <w:p w14:paraId="6C5AD64D">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kern w:val="2"/>
                <w:sz w:val="24"/>
                <w:szCs w:val="24"/>
                <w:vertAlign w:val="baseline"/>
                <w:lang w:val="en-US" w:eastAsia="zh-CN" w:bidi="ar-SA"/>
              </w:rPr>
            </w:pPr>
            <w:r>
              <w:rPr>
                <w:rFonts w:hint="default" w:ascii="Times New Roman" w:hAnsi="Times New Roman" w:eastAsia="黑体" w:cs="Times New Roman"/>
                <w:b w:val="0"/>
                <w:bCs/>
                <w:sz w:val="24"/>
                <w:szCs w:val="24"/>
                <w:vertAlign w:val="baseline"/>
                <w:lang w:val="en-US" w:eastAsia="zh-CN"/>
              </w:rPr>
              <w:t>收费标准及依据</w:t>
            </w:r>
          </w:p>
        </w:tc>
        <w:tc>
          <w:tcPr>
            <w:tcW w:w="700" w:type="dxa"/>
            <w:vMerge w:val="restart"/>
            <w:shd w:val="clear" w:color="auto" w:fill="auto"/>
            <w:noWrap w:val="0"/>
            <w:vAlign w:val="center"/>
          </w:tcPr>
          <w:p w14:paraId="709D90E8">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kern w:val="2"/>
                <w:sz w:val="24"/>
                <w:szCs w:val="24"/>
                <w:vertAlign w:val="baseline"/>
                <w:lang w:val="en-US" w:eastAsia="zh-CN" w:bidi="ar-SA"/>
              </w:rPr>
            </w:pPr>
            <w:r>
              <w:rPr>
                <w:rFonts w:hint="default" w:ascii="Times New Roman" w:hAnsi="Times New Roman" w:eastAsia="黑体" w:cs="Times New Roman"/>
                <w:b w:val="0"/>
                <w:bCs/>
                <w:sz w:val="24"/>
                <w:szCs w:val="24"/>
                <w:vertAlign w:val="baseline"/>
                <w:lang w:val="en-US" w:eastAsia="zh-CN"/>
              </w:rPr>
              <w:t>委托主体</w:t>
            </w:r>
          </w:p>
        </w:tc>
        <w:tc>
          <w:tcPr>
            <w:tcW w:w="600" w:type="dxa"/>
            <w:vMerge w:val="restart"/>
            <w:noWrap w:val="0"/>
            <w:vAlign w:val="center"/>
          </w:tcPr>
          <w:p w14:paraId="340546A8">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备注</w:t>
            </w:r>
          </w:p>
        </w:tc>
      </w:tr>
      <w:tr w14:paraId="6458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trPr>
        <w:tc>
          <w:tcPr>
            <w:tcW w:w="566" w:type="dxa"/>
            <w:vMerge w:val="continue"/>
            <w:noWrap w:val="0"/>
            <w:vAlign w:val="center"/>
          </w:tcPr>
          <w:p w14:paraId="2973F249">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p>
        </w:tc>
        <w:tc>
          <w:tcPr>
            <w:tcW w:w="1432" w:type="dxa"/>
            <w:vMerge w:val="continue"/>
            <w:noWrap w:val="0"/>
            <w:vAlign w:val="center"/>
          </w:tcPr>
          <w:p w14:paraId="08CF5498">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p>
        </w:tc>
        <w:tc>
          <w:tcPr>
            <w:tcW w:w="2446" w:type="dxa"/>
            <w:vMerge w:val="continue"/>
            <w:noWrap w:val="0"/>
            <w:vAlign w:val="center"/>
          </w:tcPr>
          <w:p w14:paraId="4F78207F">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p>
        </w:tc>
        <w:tc>
          <w:tcPr>
            <w:tcW w:w="887" w:type="dxa"/>
            <w:vMerge w:val="continue"/>
            <w:noWrap w:val="0"/>
            <w:vAlign w:val="center"/>
          </w:tcPr>
          <w:p w14:paraId="37FF95B9">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p>
        </w:tc>
        <w:tc>
          <w:tcPr>
            <w:tcW w:w="984" w:type="dxa"/>
            <w:noWrap w:val="0"/>
            <w:vAlign w:val="center"/>
          </w:tcPr>
          <w:p w14:paraId="7360B554">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资质</w:t>
            </w:r>
          </w:p>
          <w:p w14:paraId="735425DB">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条件</w:t>
            </w:r>
          </w:p>
        </w:tc>
        <w:tc>
          <w:tcPr>
            <w:tcW w:w="3616" w:type="dxa"/>
            <w:noWrap w:val="0"/>
            <w:vAlign w:val="center"/>
          </w:tcPr>
          <w:p w14:paraId="4EA3B078">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资质</w:t>
            </w:r>
          </w:p>
          <w:p w14:paraId="4E410549">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r>
              <w:rPr>
                <w:rFonts w:hint="default" w:ascii="Times New Roman" w:hAnsi="Times New Roman" w:eastAsia="黑体" w:cs="Times New Roman"/>
                <w:b w:val="0"/>
                <w:bCs/>
                <w:sz w:val="24"/>
                <w:szCs w:val="24"/>
                <w:vertAlign w:val="baseline"/>
                <w:lang w:val="en-US" w:eastAsia="zh-CN"/>
              </w:rPr>
              <w:t>依据</w:t>
            </w:r>
          </w:p>
        </w:tc>
        <w:tc>
          <w:tcPr>
            <w:tcW w:w="784" w:type="dxa"/>
            <w:vMerge w:val="continue"/>
            <w:shd w:val="clear" w:color="auto" w:fill="auto"/>
            <w:noWrap w:val="0"/>
            <w:vAlign w:val="center"/>
          </w:tcPr>
          <w:p w14:paraId="40BF9F74">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p>
        </w:tc>
        <w:tc>
          <w:tcPr>
            <w:tcW w:w="1100" w:type="dxa"/>
            <w:vMerge w:val="continue"/>
            <w:shd w:val="clear" w:color="auto" w:fill="auto"/>
            <w:noWrap w:val="0"/>
            <w:vAlign w:val="center"/>
          </w:tcPr>
          <w:p w14:paraId="240F188B">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p>
        </w:tc>
        <w:tc>
          <w:tcPr>
            <w:tcW w:w="700" w:type="dxa"/>
            <w:vMerge w:val="continue"/>
            <w:shd w:val="clear" w:color="auto" w:fill="auto"/>
            <w:noWrap w:val="0"/>
            <w:vAlign w:val="center"/>
          </w:tcPr>
          <w:p w14:paraId="2D3B8C88">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p>
        </w:tc>
        <w:tc>
          <w:tcPr>
            <w:tcW w:w="600" w:type="dxa"/>
            <w:vMerge w:val="continue"/>
            <w:noWrap w:val="0"/>
            <w:vAlign w:val="center"/>
          </w:tcPr>
          <w:p w14:paraId="6FAFBDB0">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sz w:val="24"/>
                <w:szCs w:val="24"/>
                <w:vertAlign w:val="baseline"/>
                <w:lang w:val="en-US" w:eastAsia="zh-CN"/>
              </w:rPr>
            </w:pPr>
          </w:p>
        </w:tc>
      </w:tr>
      <w:tr w14:paraId="15B0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566" w:type="dxa"/>
            <w:noWrap w:val="0"/>
            <w:vAlign w:val="center"/>
          </w:tcPr>
          <w:p w14:paraId="2C0A533B">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1</w:t>
            </w:r>
          </w:p>
        </w:tc>
        <w:tc>
          <w:tcPr>
            <w:tcW w:w="1432" w:type="dxa"/>
            <w:noWrap w:val="0"/>
            <w:vAlign w:val="center"/>
          </w:tcPr>
          <w:p w14:paraId="3AC2321C">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设立拍卖企业分支机构的年度财务会计报表编制</w:t>
            </w:r>
          </w:p>
        </w:tc>
        <w:tc>
          <w:tcPr>
            <w:tcW w:w="2446" w:type="dxa"/>
            <w:noWrap w:val="0"/>
            <w:vAlign w:val="center"/>
          </w:tcPr>
          <w:p w14:paraId="482EC0A2">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《拍卖管理办法》第十一条：拍卖企业分公司申请取得从事拍卖业务的许可，申请人需要提交下列材料：</w:t>
            </w:r>
          </w:p>
          <w:p w14:paraId="2A4F18B5">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w:t>
            </w:r>
            <w:r>
              <w:rPr>
                <w:rFonts w:hint="default" w:ascii="Times New Roman" w:hAnsi="Times New Roman" w:eastAsia="宋体" w:cs="Times New Roman"/>
                <w:b w:val="0"/>
                <w:bCs/>
                <w:sz w:val="21"/>
                <w:szCs w:val="21"/>
                <w:vertAlign w:val="baseline"/>
                <w:lang w:val="en-US" w:eastAsia="zh-CN"/>
              </w:rPr>
              <w:t>三</w:t>
            </w:r>
            <w:r>
              <w:rPr>
                <w:rFonts w:hint="eastAsia" w:ascii="Times New Roman" w:hAnsi="Times New Roman" w:eastAsia="宋体" w:cs="Times New Roman"/>
                <w:b w:val="0"/>
                <w:bCs/>
                <w:sz w:val="21"/>
                <w:szCs w:val="21"/>
                <w:vertAlign w:val="baseline"/>
                <w:lang w:val="en-US" w:eastAsia="zh-CN"/>
              </w:rPr>
              <w:t>）</w:t>
            </w:r>
            <w:r>
              <w:rPr>
                <w:rFonts w:hint="default" w:ascii="Times New Roman" w:hAnsi="Times New Roman" w:eastAsia="宋体" w:cs="Times New Roman"/>
                <w:b w:val="0"/>
                <w:bCs/>
                <w:sz w:val="21"/>
                <w:szCs w:val="21"/>
                <w:vertAlign w:val="baseline"/>
                <w:lang w:val="en-US" w:eastAsia="zh-CN"/>
              </w:rPr>
              <w:t>最近两年经会计师事务所审计的年度财务会计报表。</w:t>
            </w:r>
          </w:p>
        </w:tc>
        <w:tc>
          <w:tcPr>
            <w:tcW w:w="887" w:type="dxa"/>
            <w:noWrap w:val="0"/>
            <w:vAlign w:val="center"/>
          </w:tcPr>
          <w:p w14:paraId="45C97618">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从事拍卖业务许可</w:t>
            </w:r>
          </w:p>
        </w:tc>
        <w:tc>
          <w:tcPr>
            <w:tcW w:w="984" w:type="dxa"/>
            <w:noWrap w:val="0"/>
            <w:vAlign w:val="center"/>
          </w:tcPr>
          <w:p w14:paraId="023E84BA">
            <w:pPr>
              <w:keepNext w:val="0"/>
              <w:keepLines w:val="0"/>
              <w:widowControl/>
              <w:suppressLineNumbers w:val="0"/>
              <w:jc w:val="left"/>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会计师事务所等具有出具资产证明相应资质的机构</w:t>
            </w:r>
          </w:p>
        </w:tc>
        <w:tc>
          <w:tcPr>
            <w:tcW w:w="3616" w:type="dxa"/>
            <w:noWrap w:val="0"/>
            <w:vAlign w:val="center"/>
          </w:tcPr>
          <w:p w14:paraId="6A6BF72C">
            <w:pPr>
              <w:keepNext w:val="0"/>
              <w:keepLines w:val="0"/>
              <w:widowControl/>
              <w:suppressLineNumbers w:val="0"/>
              <w:jc w:val="left"/>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中华人民共和国注册会计师法》第三条：会计师事务所是依法设立并承办注册会计师业务的机构。注册会计师执行业务，应当加入会计师事务所。第十四条：注册会计师承办下列审计业务：（一）审查企业会计报表，出具审计报告；（二）验证企业资本，出具验资报告；（三）办理企业合并、分立、清算事宜中的审计业务，出具有关的报告；（四）法律、行政法规规定的其他审计业务。注册会计师依法执行审计业务出具的报告，具有证明效力。</w:t>
            </w:r>
          </w:p>
        </w:tc>
        <w:tc>
          <w:tcPr>
            <w:tcW w:w="784" w:type="dxa"/>
            <w:shd w:val="clear" w:color="auto" w:fill="auto"/>
            <w:noWrap w:val="0"/>
            <w:vAlign w:val="center"/>
          </w:tcPr>
          <w:p w14:paraId="37893011">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kern w:val="2"/>
                <w:sz w:val="21"/>
                <w:szCs w:val="21"/>
                <w:vertAlign w:val="baseline"/>
                <w:lang w:val="en-US" w:eastAsia="zh-CN" w:bidi="ar-SA"/>
              </w:rPr>
            </w:pPr>
            <w:r>
              <w:rPr>
                <w:rFonts w:hint="default" w:ascii="Times New Roman" w:hAnsi="Times New Roman" w:eastAsia="宋体" w:cs="Times New Roman"/>
                <w:b w:val="0"/>
                <w:bCs/>
                <w:sz w:val="21"/>
                <w:szCs w:val="21"/>
                <w:vertAlign w:val="baseline"/>
                <w:lang w:val="en-US" w:eastAsia="zh-CN"/>
              </w:rPr>
              <w:t>双方协商</w:t>
            </w:r>
            <w:r>
              <w:rPr>
                <w:rFonts w:hint="eastAsia" w:ascii="Times New Roman" w:hAnsi="Times New Roman" w:eastAsia="宋体" w:cs="Times New Roman"/>
                <w:b w:val="0"/>
                <w:bCs/>
                <w:sz w:val="21"/>
                <w:szCs w:val="21"/>
                <w:vertAlign w:val="baseline"/>
                <w:lang w:val="en-US" w:eastAsia="zh-CN"/>
              </w:rPr>
              <w:t>一致</w:t>
            </w:r>
          </w:p>
        </w:tc>
        <w:tc>
          <w:tcPr>
            <w:tcW w:w="1100" w:type="dxa"/>
            <w:noWrap w:val="0"/>
            <w:vAlign w:val="center"/>
          </w:tcPr>
          <w:p w14:paraId="485B2ED7">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市场自主调节价格</w:t>
            </w:r>
          </w:p>
        </w:tc>
        <w:tc>
          <w:tcPr>
            <w:tcW w:w="700" w:type="dxa"/>
            <w:noWrap w:val="0"/>
            <w:vAlign w:val="center"/>
          </w:tcPr>
          <w:p w14:paraId="2CD74DAA">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行政相对人</w:t>
            </w:r>
          </w:p>
        </w:tc>
        <w:tc>
          <w:tcPr>
            <w:tcW w:w="600" w:type="dxa"/>
            <w:noWrap w:val="0"/>
            <w:vAlign w:val="center"/>
          </w:tcPr>
          <w:p w14:paraId="635B7E67">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b w:val="0"/>
                <w:bCs/>
                <w:sz w:val="21"/>
                <w:szCs w:val="21"/>
                <w:vertAlign w:val="baseline"/>
                <w:lang w:val="en-US" w:eastAsia="zh-CN"/>
              </w:rPr>
            </w:pPr>
          </w:p>
        </w:tc>
      </w:tr>
      <w:tr w14:paraId="1731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7" w:hRule="atLeast"/>
        </w:trPr>
        <w:tc>
          <w:tcPr>
            <w:tcW w:w="566" w:type="dxa"/>
            <w:noWrap w:val="0"/>
            <w:vAlign w:val="center"/>
          </w:tcPr>
          <w:p w14:paraId="2FCA3530">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2</w:t>
            </w:r>
          </w:p>
        </w:tc>
        <w:tc>
          <w:tcPr>
            <w:tcW w:w="1432" w:type="dxa"/>
            <w:noWrap w:val="0"/>
            <w:vAlign w:val="center"/>
          </w:tcPr>
          <w:p w14:paraId="3314BE01">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设立对</w:t>
            </w:r>
            <w:bookmarkStart w:id="0" w:name="_GoBack"/>
            <w:bookmarkEnd w:id="0"/>
            <w:r>
              <w:rPr>
                <w:rFonts w:hint="default" w:ascii="Times New Roman" w:hAnsi="Times New Roman" w:eastAsia="宋体" w:cs="Times New Roman"/>
                <w:b w:val="0"/>
                <w:bCs/>
                <w:sz w:val="21"/>
                <w:szCs w:val="21"/>
                <w:vertAlign w:val="baseline"/>
                <w:lang w:val="en-US" w:eastAsia="zh-CN"/>
              </w:rPr>
              <w:t>外劳务合作经营企业的验资报告、财务年度报告出具</w:t>
            </w:r>
          </w:p>
        </w:tc>
        <w:tc>
          <w:tcPr>
            <w:tcW w:w="2446" w:type="dxa"/>
            <w:noWrap w:val="0"/>
            <w:vAlign w:val="center"/>
          </w:tcPr>
          <w:p w14:paraId="39CF1E51">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1.《对外劳务合作管理条例》（国务院令第620号）第六条：申请对外劳务合作经营资格，应当具备下列条件：（二）实缴注册资本不低于600万元人民币；</w:t>
            </w:r>
          </w:p>
          <w:p w14:paraId="3E498E7F">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2.《安徽省商务厅安徽省工商行政管理局关于修改安徽省对外劳务合作经营资格管理办法的通知》（皖商办外经函〔2014〕366号）第二条：申请对外劳务合作经营资格的企业须提交以下材料：（三）会计师事务所出具的企业验资报告、财务年度报告原件。</w:t>
            </w:r>
          </w:p>
        </w:tc>
        <w:tc>
          <w:tcPr>
            <w:tcW w:w="887" w:type="dxa"/>
            <w:noWrap w:val="0"/>
            <w:vAlign w:val="center"/>
          </w:tcPr>
          <w:p w14:paraId="440D355E">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对外劳务合作经营资格核准</w:t>
            </w:r>
          </w:p>
        </w:tc>
        <w:tc>
          <w:tcPr>
            <w:tcW w:w="984" w:type="dxa"/>
            <w:noWrap w:val="0"/>
            <w:vAlign w:val="center"/>
          </w:tcPr>
          <w:p w14:paraId="32C88EA7">
            <w:pPr>
              <w:keepNext w:val="0"/>
              <w:keepLines w:val="0"/>
              <w:widowControl/>
              <w:suppressLineNumbers w:val="0"/>
              <w:jc w:val="left"/>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会计师事务所等具有出具资产证明相应资质的机构</w:t>
            </w:r>
          </w:p>
        </w:tc>
        <w:tc>
          <w:tcPr>
            <w:tcW w:w="3616" w:type="dxa"/>
            <w:noWrap w:val="0"/>
            <w:vAlign w:val="center"/>
          </w:tcPr>
          <w:p w14:paraId="628B09E0">
            <w:pPr>
              <w:keepNext w:val="0"/>
              <w:keepLines w:val="0"/>
              <w:widowControl/>
              <w:suppressLineNumbers w:val="0"/>
              <w:jc w:val="left"/>
              <w:textAlignment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中华人民共和国注册会计师法》第三条：会计师事务所是依法设立并承办注册会计师业务的机构。注册会计师执行业务，应当加入会计师事务所。第十四条：注册会计师承办下列审计业务：（一）审查企业会计报表，出具审计报告；（二）验证企业资本，出具验资报告；（三）办理企业合并、分立、清算事宜中的审计业务，出具有关的报告；（四）法律、行政法规规定的其他审计业务。注册会计师依法执行审计业务出具的报告，具有证明效力。</w:t>
            </w:r>
          </w:p>
        </w:tc>
        <w:tc>
          <w:tcPr>
            <w:tcW w:w="784" w:type="dxa"/>
            <w:shd w:val="clear" w:color="auto" w:fill="auto"/>
            <w:noWrap w:val="0"/>
            <w:vAlign w:val="center"/>
          </w:tcPr>
          <w:p w14:paraId="76D9E795">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双方协商</w:t>
            </w:r>
            <w:r>
              <w:rPr>
                <w:rFonts w:hint="eastAsia" w:ascii="Times New Roman" w:hAnsi="Times New Roman" w:eastAsia="宋体" w:cs="Times New Roman"/>
                <w:b w:val="0"/>
                <w:bCs/>
                <w:sz w:val="21"/>
                <w:szCs w:val="21"/>
                <w:vertAlign w:val="baseline"/>
                <w:lang w:val="en-US" w:eastAsia="zh-CN"/>
              </w:rPr>
              <w:t>一致</w:t>
            </w:r>
          </w:p>
        </w:tc>
        <w:tc>
          <w:tcPr>
            <w:tcW w:w="1100" w:type="dxa"/>
            <w:noWrap w:val="0"/>
            <w:vAlign w:val="center"/>
          </w:tcPr>
          <w:p w14:paraId="441C996E">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市场自主调节价格</w:t>
            </w:r>
          </w:p>
        </w:tc>
        <w:tc>
          <w:tcPr>
            <w:tcW w:w="700" w:type="dxa"/>
            <w:noWrap w:val="0"/>
            <w:vAlign w:val="center"/>
          </w:tcPr>
          <w:p w14:paraId="0145CDAB">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行政相对人</w:t>
            </w:r>
          </w:p>
        </w:tc>
        <w:tc>
          <w:tcPr>
            <w:tcW w:w="600" w:type="dxa"/>
            <w:noWrap w:val="0"/>
            <w:vAlign w:val="center"/>
          </w:tcPr>
          <w:p w14:paraId="487A1902">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b w:val="0"/>
                <w:bCs/>
                <w:sz w:val="21"/>
                <w:szCs w:val="21"/>
                <w:vertAlign w:val="baseline"/>
                <w:lang w:val="en-US" w:eastAsia="zh-CN"/>
              </w:rPr>
            </w:pPr>
          </w:p>
        </w:tc>
      </w:tr>
    </w:tbl>
    <w:p w14:paraId="00099F94">
      <w:pPr>
        <w:pStyle w:val="2"/>
        <w:ind w:left="0" w:leftChars="0" w:firstLine="0" w:firstLineChars="0"/>
        <w:rPr>
          <w:rFonts w:hint="default" w:ascii="Times New Roman" w:hAnsi="Times New Roman" w:eastAsia="仿宋_GB2312" w:cs="Times New Roman"/>
          <w:i w:val="0"/>
          <w:iCs w:val="0"/>
          <w:caps w:val="0"/>
          <w:color w:val="auto"/>
          <w:spacing w:val="0"/>
          <w:sz w:val="30"/>
          <w:szCs w:val="30"/>
          <w:shd w:val="clear" w:fill="FFFFFF"/>
          <w:lang w:val="en-US" w:eastAsia="zh-CN"/>
        </w:rPr>
      </w:pPr>
    </w:p>
    <w:sectPr>
      <w:footerReference r:id="rId3" w:type="default"/>
      <w:pgSz w:w="16838" w:h="11906" w:orient="landscape"/>
      <w:pgMar w:top="1587" w:right="2154" w:bottom="1474" w:left="187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709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C3FC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3C3FC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93145"/>
    <w:rsid w:val="05D47115"/>
    <w:rsid w:val="08793145"/>
    <w:rsid w:val="0BE21152"/>
    <w:rsid w:val="11296DE1"/>
    <w:rsid w:val="172F68A1"/>
    <w:rsid w:val="185D2F9A"/>
    <w:rsid w:val="1B4A118D"/>
    <w:rsid w:val="1FEA2424"/>
    <w:rsid w:val="219A3E0C"/>
    <w:rsid w:val="239301B8"/>
    <w:rsid w:val="27646559"/>
    <w:rsid w:val="35380BE4"/>
    <w:rsid w:val="37166CDE"/>
    <w:rsid w:val="3810372D"/>
    <w:rsid w:val="3D3F6888"/>
    <w:rsid w:val="3E3E1C48"/>
    <w:rsid w:val="3ED2087A"/>
    <w:rsid w:val="41B31CF9"/>
    <w:rsid w:val="43236A0A"/>
    <w:rsid w:val="453B2780"/>
    <w:rsid w:val="46342CDD"/>
    <w:rsid w:val="4D0A0B09"/>
    <w:rsid w:val="51D11D27"/>
    <w:rsid w:val="52F61A46"/>
    <w:rsid w:val="539914A5"/>
    <w:rsid w:val="53D51710"/>
    <w:rsid w:val="54D97871"/>
    <w:rsid w:val="59BE195D"/>
    <w:rsid w:val="5BC47A1C"/>
    <w:rsid w:val="5D4E6DD9"/>
    <w:rsid w:val="642A6E31"/>
    <w:rsid w:val="645D77CC"/>
    <w:rsid w:val="64A77044"/>
    <w:rsid w:val="65C73DBA"/>
    <w:rsid w:val="6893720C"/>
    <w:rsid w:val="69B455F6"/>
    <w:rsid w:val="6AA715D5"/>
    <w:rsid w:val="6FB23E8A"/>
    <w:rsid w:val="72057959"/>
    <w:rsid w:val="745201E6"/>
    <w:rsid w:val="75D0379C"/>
    <w:rsid w:val="773D360A"/>
    <w:rsid w:val="7CD4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仿宋正文"/>
    <w:basedOn w:val="1"/>
    <w:qFormat/>
    <w:uiPriority w:val="0"/>
    <w:pPr>
      <w:spacing w:line="600" w:lineRule="exact"/>
      <w:ind w:firstLine="643" w:firstLineChars="200"/>
    </w:pPr>
    <w:rPr>
      <w:rFonts w:ascii="宋体" w:hAnsi="宋体" w:eastAsia="方正仿宋_GBK"/>
      <w:b/>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6ecea5e4-cde2-478f-aa1e-a1eeb431f474</errorID>
      <errorWord>(</errorWord>
      <group>L1_Format</group>
      <groupName>格式问题</groupName>
      <ability>L2_HalfPunc</ability>
      <abilityName>全半角检查</abilityName>
      <candidateList>
        <item>（</item>
      </candidateList>
      <explain>文本全半角错误。</explain>
      <paraID>2D95FE12</paraID>
      <start>5</start>
      <end>6</end>
      <status>unmodified</status>
      <modifiedWord/>
      <trackRevisions>false</trackRevisions>
    </reviewItem>
    <reviewItem>
      <errorID>e0e8fd5a-0b61-474a-a35d-7b805ec2bb21</errorID>
      <errorWord>)</errorWord>
      <group>L1_Format</group>
      <groupName>格式问题</groupName>
      <ability>L2_HalfPunc</ability>
      <abilityName>全半角检查</abilityName>
      <candidateList>
        <item>）</item>
      </candidateList>
      <explain>文本全半角错误。</explain>
      <paraID>2D95FE12</paraID>
      <start>8</start>
      <end>9</end>
      <status>unmodified</status>
      <modifiedWord/>
      <trackRevisions>false</trackRevisions>
    </reviewItem>
    <reviewItem>
      <errorID>bcc486ff-6d12-43e1-871c-f239967d5463</errorID>
      <errorWord>(</errorWord>
      <group>L1_Format</group>
      <groupName>格式问题</groupName>
      <ability>L2_HalfPunc</ability>
      <abilityName>全半角检查</abilityName>
      <candidateList>
        <item>（</item>
      </candidateList>
      <explain>文本全半角错误。</explain>
      <paraID>3F78FC96</paraID>
      <start>10</start>
      <end>11</end>
      <status>unmodified</status>
      <modifiedWord/>
      <trackRevisions>false</trackRevisions>
    </reviewItem>
    <reviewItem>
      <errorID>b1ee93a9-2262-4a40-9f20-6ce42ad3b78f</errorID>
      <errorWord>)</errorWord>
      <group>L1_Format</group>
      <groupName>格式问题</groupName>
      <ability>L2_HalfPunc</ability>
      <abilityName>全半角检查</abilityName>
      <candidateList>
        <item>）</item>
      </candidateList>
      <explain>文本全半角错误。</explain>
      <paraID>3F78FC96</paraID>
      <start>13</start>
      <end>14</end>
      <status>unmodified</status>
      <modifiedWord/>
      <trackRevisions>false</trackRevisions>
    </reviewItem>
    <reviewItem>
      <errorID>08d252d1-e982-4be5-8e00-ebfb8cf1b2d0</errorID>
      <errorWord>意</errorWord>
      <group>L1_Word</group>
      <groupName>字词问题</groupName>
      <ability>L2_Typo</ability>
      <abilityName>字词错误</abilityName>
      <candidateList>
        <item>意见</item>
      </candidateList>
      <explain/>
      <paraID>6CD6CFA3</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ac477-013b-465c-a9bd-65ec1ed2e689}">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873</Words>
  <Characters>887</Characters>
  <Lines>0</Lines>
  <Paragraphs>0</Paragraphs>
  <TotalTime>37</TotalTime>
  <ScaleCrop>false</ScaleCrop>
  <LinksUpToDate>false</LinksUpToDate>
  <CharactersWithSpaces>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2026-01-04T02:10:00Z</dcterms:created>
  <dc:creator>挥袖负手仰望</dc:creator>
  <cp:lastModifiedBy>梁贝贝</cp:lastModifiedBy>
  <cp:lastPrinted>2026-03-02T06:48:00Z</cp:lastPrinted>
  <dcterms:modified xsi:type="dcterms:W3CDTF">2026-03-12T06:54:35Z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FBB1627685D64C9F9DE6E78A86C03932_13</vt:lpwstr>
  </property>
  <property fmtid="{D5CDD505-2E9C-101B-9397-08002B2CF9AE}" pid="4" name="KSOTemplateDocerSaveRecord">
    <vt:lpwstr>eyJoZGlkIjoiZTViYThhMDEwMThmYWZmYmJhMWI2MTVhNjE1N2YxNmIifQ==</vt:lpwstr>
  </property>
</Properties>
</file>